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jc w:val="center"/>
        </w:trPr>
        <w:tc>
          <w:tcPr>
            <w:tcW w:w="5000" w:type="pct"/>
          </w:tcPr>
          <w:p>
            <w:pPr>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r>
              <w:rPr>
                <w:rFonts w:hint="eastAsia" w:ascii="宋体" w:hAnsi="宋体" w:eastAsia="黑体" w:cs="Times New Roman"/>
                <w:b/>
                <w:bCs/>
                <w:kern w:val="44"/>
                <w:sz w:val="44"/>
                <w:szCs w:val="48"/>
                <w:lang w:val="en-US" w:eastAsia="zh-CN" w:bidi="ar-SA"/>
              </w:rPr>
              <w:br w:type="page"/>
            </w:r>
          </w:p>
          <w:p>
            <w:pPr>
              <w:pStyle w:val="2"/>
              <w:rPr>
                <w:rFonts w:hint="eastAsia" w:ascii="宋体" w:hAnsi="宋体" w:eastAsia="黑体" w:cs="Times New Roman"/>
                <w:b/>
                <w:bCs/>
                <w:kern w:val="44"/>
                <w:sz w:val="44"/>
                <w:szCs w:val="48"/>
                <w:lang w:val="en-US" w:eastAsia="zh-CN" w:bidi="ar-SA"/>
              </w:rPr>
            </w:pPr>
            <w:r>
              <w:rPr>
                <w:rFonts w:hint="eastAsia" w:ascii="宋体" w:hAnsi="宋体" w:eastAsia="黑体" w:cs="Times New Roman"/>
                <w:b/>
                <w:bCs/>
                <w:kern w:val="44"/>
                <w:sz w:val="44"/>
                <w:szCs w:val="48"/>
                <w:lang w:val="en-US" w:eastAsia="zh-CN" w:bidi="ar-SA"/>
              </w:rPr>
              <w:t>高等教育自学考试</w:t>
            </w:r>
          </w:p>
          <w:p>
            <w:pPr>
              <w:pStyle w:val="2"/>
              <w:rPr>
                <w:rFonts w:hint="eastAsia" w:ascii="宋体" w:hAnsi="宋体" w:eastAsia="黑体" w:cs="Times New Roman"/>
                <w:b/>
                <w:bCs/>
                <w:kern w:val="44"/>
                <w:sz w:val="44"/>
                <w:szCs w:val="48"/>
                <w:lang w:val="en-US" w:eastAsia="zh-CN" w:bidi="ar-SA"/>
              </w:rPr>
            </w:pPr>
            <w:r>
              <w:rPr>
                <w:rFonts w:hint="eastAsia" w:ascii="宋体" w:hAnsi="宋体" w:eastAsia="黑体" w:cs="Times New Roman"/>
                <w:b/>
                <w:bCs/>
                <w:kern w:val="44"/>
                <w:sz w:val="44"/>
                <w:szCs w:val="48"/>
                <w:lang w:val="en-US" w:eastAsia="zh-CN" w:bidi="ar-SA"/>
              </w:rPr>
              <w:t>汉语国际教育（专升本）专业考试计划</w:t>
            </w:r>
          </w:p>
          <w:p>
            <w:pPr>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pStyle w:val="4"/>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pStyle w:val="4"/>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pStyle w:val="4"/>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pStyle w:val="4"/>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pStyle w:val="4"/>
              <w:autoSpaceDE w:val="0"/>
              <w:autoSpaceDN w:val="0"/>
              <w:snapToGrid w:val="0"/>
              <w:spacing w:line="360" w:lineRule="auto"/>
              <w:ind w:firstLine="720" w:firstLineChars="200"/>
              <w:jc w:val="left"/>
              <w:rPr>
                <w:rFonts w:hint="eastAsia" w:ascii="方正仿宋_GBK" w:hAnsi="方正仿宋_GBK" w:eastAsia="黑体" w:cs="方正仿宋_GBK"/>
                <w:kern w:val="0"/>
                <w:sz w:val="36"/>
                <w:szCs w:val="22"/>
                <w:lang w:val="en-US" w:eastAsia="zh-CN"/>
              </w:rPr>
            </w:pPr>
            <w:r>
              <w:rPr>
                <w:rFonts w:hint="eastAsia" w:ascii="方正仿宋_GBK" w:hAnsi="方正仿宋_GBK" w:eastAsia="黑体" w:cs="方正仿宋_GBK"/>
                <w:kern w:val="0"/>
                <w:sz w:val="36"/>
                <w:szCs w:val="22"/>
                <w:lang w:val="en-US" w:eastAsia="zh-CN"/>
              </w:rPr>
              <w:t>主考学校：成都信息工程大学</w:t>
            </w:r>
          </w:p>
          <w:p>
            <w:pPr>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autoSpaceDE/>
              <w:autoSpaceDN/>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pStyle w:val="4"/>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p>
            <w:pPr>
              <w:pStyle w:val="3"/>
              <w:autoSpaceDE w:val="0"/>
              <w:autoSpaceDN w:val="0"/>
              <w:jc w:val="center"/>
              <w:rPr>
                <w:rFonts w:hint="eastAsia" w:eastAsia="黑体" w:cs="方正仿宋_GBK"/>
                <w:kern w:val="0"/>
                <w:szCs w:val="22"/>
                <w:lang w:val="en-US" w:eastAsia="zh-CN"/>
              </w:rPr>
            </w:pPr>
            <w:r>
              <w:rPr>
                <w:rFonts w:hint="eastAsia" w:eastAsia="黑体" w:cs="方正仿宋_GBK"/>
                <w:kern w:val="0"/>
                <w:szCs w:val="22"/>
                <w:lang w:val="en-US" w:eastAsia="zh-CN"/>
              </w:rPr>
              <w:t>四川省高等教育招生考试委员会</w:t>
            </w:r>
          </w:p>
          <w:p>
            <w:pPr>
              <w:pStyle w:val="3"/>
              <w:autoSpaceDE w:val="0"/>
              <w:autoSpaceDN w:val="0"/>
              <w:jc w:val="center"/>
              <w:rPr>
                <w:rFonts w:hint="eastAsia" w:eastAsia="黑体" w:cs="方正仿宋_GBK"/>
                <w:kern w:val="0"/>
                <w:szCs w:val="22"/>
                <w:lang w:val="en-US" w:eastAsia="zh-CN"/>
              </w:rPr>
            </w:pPr>
            <w:r>
              <w:rPr>
                <w:rFonts w:hint="eastAsia" w:eastAsia="黑体" w:cs="方正仿宋_GBK"/>
                <w:kern w:val="0"/>
                <w:szCs w:val="22"/>
                <w:lang w:val="en-US" w:eastAsia="zh-CN"/>
              </w:rPr>
              <w:t>2023年10月制定</w:t>
            </w:r>
          </w:p>
          <w:p>
            <w:pPr>
              <w:snapToGrid w:val="0"/>
              <w:spacing w:line="360" w:lineRule="auto"/>
              <w:ind w:firstLine="883" w:firstLineChars="200"/>
              <w:jc w:val="left"/>
              <w:rPr>
                <w:rFonts w:hint="eastAsia" w:ascii="宋体" w:hAnsi="宋体" w:eastAsia="黑体" w:cs="Times New Roman"/>
                <w:b/>
                <w:bCs/>
                <w:kern w:val="44"/>
                <w:sz w:val="44"/>
                <w:szCs w:val="4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9" w:hRule="atLeast"/>
          <w:jc w:val="center"/>
        </w:trPr>
        <w:tc>
          <w:tcPr>
            <w:tcW w:w="5000" w:type="pct"/>
          </w:tcPr>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一、指导思想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color w:val="000000"/>
                <w:sz w:val="28"/>
                <w:szCs w:val="28"/>
                <w:lang w:val="en-US"/>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专业基础知识的掌握，以及运用所学知识分析、解决实际问题的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高等教育自学考试汉语国际教育（专升本）专业的学历层次为本科，学科门类为文学，专业类别为中国语言文学类。</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本专业考试计划规定合格课程门数</w:t>
            </w:r>
            <w:r>
              <w:rPr>
                <w:rFonts w:ascii="仿宋_GB2312" w:hAnsi="仿宋_GB2312" w:eastAsia="仿宋_GB2312" w:cs="仿宋_GB2312"/>
                <w:color w:val="000000"/>
                <w:sz w:val="28"/>
                <w:szCs w:val="28"/>
                <w:lang w:val="en-US"/>
              </w:rPr>
              <w:t>13</w:t>
            </w:r>
            <w:r>
              <w:rPr>
                <w:rFonts w:hint="eastAsia" w:ascii="仿宋_GB2312" w:hAnsi="仿宋_GB2312" w:eastAsia="仿宋_GB2312" w:cs="仿宋_GB2312"/>
                <w:color w:val="000000"/>
                <w:sz w:val="28"/>
                <w:szCs w:val="28"/>
                <w:lang w:val="en-US"/>
              </w:rPr>
              <w:t>门（其中考试课程相关的实践考核环节部分不单独计入课程总门数）</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总学分</w:t>
            </w:r>
            <w:r>
              <w:rPr>
                <w:rFonts w:ascii="仿宋_GB2312" w:hAnsi="仿宋_GB2312" w:eastAsia="仿宋_GB2312" w:cs="仿宋_GB2312"/>
                <w:color w:val="000000"/>
                <w:sz w:val="28"/>
                <w:szCs w:val="28"/>
                <w:lang w:val="en-US"/>
              </w:rPr>
              <w:t>72</w:t>
            </w:r>
            <w:r>
              <w:rPr>
                <w:rFonts w:hint="eastAsia" w:ascii="仿宋_GB2312" w:hAnsi="仿宋_GB2312" w:eastAsia="仿宋_GB2312" w:cs="仿宋_GB2312"/>
                <w:color w:val="000000"/>
                <w:sz w:val="28"/>
                <w:szCs w:val="28"/>
                <w:lang w:val="en-US"/>
              </w:rPr>
              <w:t>学分。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按照本专业考试计划的规定，取得相应课程合格成绩且达到规定学分要求，毕业环节和实践性环节考核合格，思想品德经鉴定符合要求者，经审核通过，由四川省高等教育招生考试委员会颁发汉语国际教育（专升本）专业毕业证书，主考学校副署，国家承认学历。符合高等学历继续教育学士学位授予条件者，由主考学校按规定授予学士学位。</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培养目标：本专业培养具有较高的文化素养和良好的社会责任感，具有较扎实的汉语和一定的外语基础，具备较好的语言应用能力，对中国文学、中国文化及中外文化交往比较了解，能在各类学校和教学机构从事汉语教学，或在政府部门、企事业单位从事与汉语或中国文化相关工作的应用型高级专门人才。</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培养要求：</w:t>
            </w:r>
            <w:r>
              <w:rPr>
                <w:rFonts w:hint="eastAsia" w:ascii="仿宋_GB2312" w:hAnsi="仿宋_GB2312" w:eastAsia="仿宋_GB2312" w:cs="仿宋_GB2312"/>
                <w:sz w:val="28"/>
                <w:szCs w:val="28"/>
              </w:rPr>
              <w:t>本专业要求掌握汉语言文学的基本理论和基础知识，了解中华民族的历史文化，能运用所学知识开展语言文字工作，具备汉语国际教学和国际文化交流的基本能力。主要包括：</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掌握汉语言文学学科的基本理论和基本知识；</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具备熟练的汉语作为第二语言教学技能，有良好的汉语口头表达能力和写作能力，普通话标准；</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具备良好的教师职业素养，掌握对外汉语教学的基本理论与方法，并能熟练运用现代教育技术和科技手段进行教学；</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能流利地使用一</w:t>
            </w:r>
            <w:r>
              <w:rPr>
                <w:rFonts w:hint="eastAsia" w:ascii="仿宋_GB2312" w:hAnsi="仿宋_GB2312" w:eastAsia="仿宋_GB2312" w:cs="仿宋_GB2312"/>
                <w:sz w:val="28"/>
                <w:szCs w:val="28"/>
                <w:lang w:eastAsia="zh-CN"/>
              </w:rPr>
              <w:t>门</w:t>
            </w:r>
            <w:r>
              <w:rPr>
                <w:rFonts w:hint="eastAsia" w:ascii="仿宋_GB2312" w:hAnsi="仿宋_GB2312" w:eastAsia="仿宋_GB2312" w:cs="仿宋_GB2312"/>
                <w:sz w:val="28"/>
                <w:szCs w:val="28"/>
              </w:rPr>
              <w:t>外语进行汉语教学和交流，熟悉外国文学和文化的基本知识；</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了解国家对外交往的有关方针、政策和涉外</w:t>
            </w:r>
            <w:r>
              <w:rPr>
                <w:rFonts w:hint="eastAsia" w:ascii="仿宋_GB2312" w:hAnsi="仿宋_GB2312" w:eastAsia="仿宋_GB2312" w:cs="仿宋_GB2312"/>
                <w:sz w:val="28"/>
                <w:szCs w:val="28"/>
                <w:lang w:eastAsia="zh-CN"/>
              </w:rPr>
              <w:t>法律法规</w:t>
            </w:r>
            <w:r>
              <w:rPr>
                <w:rFonts w:hint="eastAsia" w:ascii="仿宋_GB2312" w:hAnsi="仿宋_GB2312" w:eastAsia="仿宋_GB2312" w:cs="仿宋_GB2312"/>
                <w:sz w:val="28"/>
                <w:szCs w:val="28"/>
              </w:rPr>
              <w:t>，具有一定的外事活动能力；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了解本学科的理论前沿、应用前景与发展动态。</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hint="eastAsia" w:ascii="仿宋_GB2312" w:hAnsi="仿宋_GB2312" w:eastAsia="仿宋_GB2312" w:cs="仿宋_GB2312"/>
                <w:b/>
                <w:bCs/>
                <w:color w:val="000000"/>
                <w:sz w:val="28"/>
                <w:szCs w:val="28"/>
                <w:lang w:val="en-US"/>
              </w:rPr>
              <w:t>专业代码：</w:t>
            </w:r>
            <w:r>
              <w:rPr>
                <w:rFonts w:ascii="仿宋_GB2312" w:hAnsi="仿宋_GB2312" w:eastAsia="仿宋_GB2312" w:cs="仿宋_GB2312"/>
                <w:b/>
                <w:bCs/>
                <w:color w:val="000000"/>
                <w:sz w:val="28"/>
                <w:szCs w:val="28"/>
                <w:lang w:val="en-US"/>
              </w:rPr>
              <w:t>050103</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69"/>
              <w:gridCol w:w="767"/>
              <w:gridCol w:w="1156"/>
              <w:gridCol w:w="2909"/>
              <w:gridCol w:w="921"/>
              <w:gridCol w:w="914"/>
              <w:gridCol w:w="7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bookmarkStart w:id="0" w:name="_Hlk138270081"/>
                  <w:r>
                    <w:rPr>
                      <w:rFonts w:hint="eastAsia" w:ascii="仿宋_GB2312" w:hAnsi="仿宋_GB2312" w:eastAsia="仿宋_GB2312" w:cs="仿宋_GB2312"/>
                      <w:b/>
                      <w:color w:val="000000"/>
                      <w:sz w:val="24"/>
                      <w:szCs w:val="24"/>
                      <w:lang w:val="en-US" w:eastAsia="en-US"/>
                    </w:rPr>
                    <w:t>课程类别</w:t>
                  </w: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序号</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课程</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代码</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课程名称</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学分</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考试</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方式</w:t>
                  </w:r>
                </w:p>
              </w:tc>
              <w:tc>
                <w:tcPr>
                  <w:tcW w:w="76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公共</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基础</w:t>
                  </w:r>
                </w:p>
                <w:p>
                  <w:pPr>
                    <w:autoSpaceDE/>
                    <w:autoSpaceDN/>
                    <w:snapToGrid w:val="0"/>
                    <w:rPr>
                      <w:rFonts w:ascii="仿宋_GB2312" w:hAnsi="仿宋_GB2312" w:eastAsia="仿宋_GB2312" w:cs="仿宋_GB2312"/>
                      <w:b/>
                      <w:bCs/>
                      <w:sz w:val="24"/>
                      <w:szCs w:val="24"/>
                    </w:rPr>
                  </w:pPr>
                  <w:r>
                    <w:rPr>
                      <w:rFonts w:hint="eastAsia" w:ascii="仿宋_GB2312" w:hAnsi="仿宋_GB2312" w:eastAsia="仿宋_GB2312" w:cs="仿宋_GB2312"/>
                      <w:b/>
                      <w:color w:val="000000"/>
                      <w:sz w:val="24"/>
                      <w:szCs w:val="24"/>
                      <w:lang w:val="en-US" w:eastAsia="en-US"/>
                    </w:rPr>
                    <w:t>课</w:t>
                  </w: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1</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03708</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中国近现代史纲要</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2</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2</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03709</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马克思主义基本原理概论</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专</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业</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核</w:t>
                  </w:r>
                </w:p>
                <w:p>
                  <w:pPr>
                    <w:autoSpaceDE/>
                    <w:autoSpaceDN/>
                    <w:snapToGrid w:val="0"/>
                    <w:rPr>
                      <w:rFonts w:ascii="仿宋_GB2312" w:hAnsi="仿宋_GB2312" w:eastAsia="仿宋_GB2312" w:cs="仿宋_GB2312"/>
                      <w:b/>
                      <w:color w:val="000000"/>
                      <w:sz w:val="24"/>
                      <w:szCs w:val="24"/>
                      <w:lang w:val="en-US" w:eastAsia="en-US"/>
                    </w:rPr>
                  </w:pPr>
                  <w:r>
                    <w:rPr>
                      <w:rFonts w:hint="eastAsia" w:ascii="仿宋_GB2312" w:hAnsi="仿宋_GB2312" w:eastAsia="仿宋_GB2312" w:cs="仿宋_GB2312"/>
                      <w:b/>
                      <w:color w:val="000000"/>
                      <w:sz w:val="24"/>
                      <w:szCs w:val="24"/>
                      <w:lang w:val="en-US" w:eastAsia="en-US"/>
                    </w:rPr>
                    <w:t>心</w:t>
                  </w:r>
                </w:p>
                <w:p>
                  <w:pPr>
                    <w:autoSpaceDE/>
                    <w:autoSpaceDN/>
                    <w:snapToGrid w:val="0"/>
                    <w:rPr>
                      <w:rFonts w:ascii="仿宋_GB2312" w:hAnsi="仿宋_GB2312" w:eastAsia="仿宋_GB2312" w:cs="仿宋_GB2312"/>
                      <w:b/>
                      <w:bCs/>
                      <w:sz w:val="24"/>
                      <w:szCs w:val="24"/>
                      <w:lang w:val="en-US"/>
                    </w:rPr>
                  </w:pPr>
                  <w:r>
                    <w:rPr>
                      <w:rFonts w:hint="eastAsia" w:ascii="仿宋_GB2312" w:hAnsi="仿宋_GB2312" w:eastAsia="仿宋_GB2312" w:cs="仿宋_GB2312"/>
                      <w:b/>
                      <w:color w:val="000000"/>
                      <w:sz w:val="24"/>
                      <w:szCs w:val="24"/>
                      <w:lang w:val="en-US" w:eastAsia="en-US"/>
                    </w:rPr>
                    <w:t>课</w:t>
                  </w: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3</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01210</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对外汉语教学法</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4</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00538</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中国古代文学史（一）</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7</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5</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eastAsia="en-US"/>
                    </w:rPr>
                  </w:pPr>
                  <w:r>
                    <w:rPr>
                      <w:rFonts w:ascii="仿宋_GB2312" w:hAnsi="仿宋_GB2312" w:eastAsia="仿宋_GB2312" w:cs="仿宋_GB2312"/>
                      <w:color w:val="000000"/>
                      <w:sz w:val="24"/>
                      <w:szCs w:val="24"/>
                      <w:lang w:val="en-US" w:eastAsia="en-US"/>
                    </w:rPr>
                    <w:t>00539</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中国古代文学史（二）</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7</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00540</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外国文学史</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7</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13157</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现代汉语</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8</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00541</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语言学概论</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914"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专</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业</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拓</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展</w:t>
                  </w:r>
                </w:p>
                <w:p>
                  <w:pPr>
                    <w:autoSpaceDE/>
                    <w:autoSpaceDN/>
                    <w:snapToGrid w:val="0"/>
                    <w:rPr>
                      <w:rFonts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课</w:t>
                  </w:r>
                </w:p>
                <w:p>
                  <w:pPr>
                    <w:snapToGrid w:val="0"/>
                    <w:rPr>
                      <w:rFonts w:ascii="仿宋_GB2312" w:hAnsi="仿宋_GB2312" w:eastAsia="仿宋_GB2312" w:cs="仿宋_GB2312"/>
                      <w:b/>
                      <w:bCs/>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9</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06778</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中国现当代文学史</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914"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10</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01213</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汉英语对比</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914"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11</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10471</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文字学</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914"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12</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00664</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中国书法简史</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914"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13</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13942</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课程与教学案例评析</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6</w:t>
                  </w:r>
                </w:p>
              </w:tc>
              <w:tc>
                <w:tcPr>
                  <w:tcW w:w="914"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764" w:type="dxa"/>
                  <w:tcBorders>
                    <w:top w:val="single" w:color="000000" w:sz="2" w:space="0"/>
                    <w:left w:val="single" w:color="000000" w:sz="2"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6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14</w:t>
                  </w:r>
                </w:p>
              </w:tc>
              <w:tc>
                <w:tcPr>
                  <w:tcW w:w="115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00000</w:t>
                  </w:r>
                </w:p>
              </w:tc>
              <w:tc>
                <w:tcPr>
                  <w:tcW w:w="2909"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毕业考核（或论文</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综合实践</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实验</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实习等）</w:t>
                  </w:r>
                </w:p>
              </w:tc>
              <w:tc>
                <w:tcPr>
                  <w:tcW w:w="921"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color w:val="000000"/>
                      <w:sz w:val="24"/>
                      <w:szCs w:val="24"/>
                      <w:lang w:val="en-US"/>
                    </w:rPr>
                  </w:pPr>
                </w:p>
              </w:tc>
              <w:tc>
                <w:tcPr>
                  <w:tcW w:w="914"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color w:val="000000"/>
                      <w:sz w:val="24"/>
                      <w:szCs w:val="24"/>
                      <w:lang w:val="en-US"/>
                    </w:rPr>
                  </w:pPr>
                </w:p>
              </w:tc>
              <w:tc>
                <w:tcPr>
                  <w:tcW w:w="764" w:type="dxa"/>
                  <w:tcBorders>
                    <w:top w:val="single" w:color="000000" w:sz="2" w:space="0"/>
                    <w:left w:val="single" w:color="000000" w:sz="2"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701" w:type="dxa"/>
                  <w:gridSpan w:val="4"/>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sz w:val="24"/>
                      <w:szCs w:val="24"/>
                      <w:lang w:val="en-US"/>
                    </w:rPr>
                  </w:pPr>
                  <w:r>
                    <w:rPr>
                      <w:rFonts w:hint="eastAsia" w:ascii="仿宋_GB2312" w:hAnsi="仿宋_GB2312" w:eastAsia="仿宋_GB2312" w:cs="仿宋_GB2312"/>
                      <w:b/>
                      <w:color w:val="000000"/>
                      <w:sz w:val="24"/>
                      <w:szCs w:val="24"/>
                      <w:lang w:val="en-US"/>
                    </w:rPr>
                    <w:t>总学分</w:t>
                  </w:r>
                </w:p>
              </w:tc>
              <w:tc>
                <w:tcPr>
                  <w:tcW w:w="2599"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color w:val="000000"/>
                      <w:sz w:val="24"/>
                      <w:szCs w:val="24"/>
                      <w:lang w:val="en-US"/>
                    </w:rPr>
                  </w:pPr>
                  <w:r>
                    <w:rPr>
                      <w:rFonts w:ascii="仿宋_GB2312" w:hAnsi="仿宋_GB2312" w:eastAsia="仿宋_GB2312" w:cs="仿宋_GB2312"/>
                      <w:b/>
                      <w:color w:val="000000"/>
                      <w:sz w:val="24"/>
                      <w:szCs w:val="24"/>
                      <w:lang w:val="en-US"/>
                    </w:rPr>
                    <w:t>72</w:t>
                  </w:r>
                </w:p>
              </w:tc>
            </w:tr>
            <w:bookmarkEnd w:id="0"/>
          </w:tbl>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五、主要课程说明</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对外汉语教学法</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的主要内容是讲授汉语作为第二语言教学法的基本教学法，语言要素教学，不同课型教学法等。通过语音、词汇、语法和综合课教学实践，反复磨课，在教师点评和学生观摩相结合的基础上，反思教学，提升教学内容分析能力和课堂教学能力，同时在教学实践中提升课堂教学管理能力。通过本课程的学习，学生能够了解对外交往的相关外事纪律，熟悉国家有关语言文字及其文化传播的方针政策和法规，具备一定的外事活动能力；系统掌握国际汉语教学法的基本理论、理论基础、主要特点、主要优势及劣势、教学的基本操作流程、教学的基本步骤、课堂应急管理、跨文化冲突等理论知识；通过大量的教学实操，学生具备独立完成备课、上课、课后反思等教学活动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中国现当代文学史</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从“五四”文学革命运动起至当下的文学运动、思潮、社团、流派和文学创作发展的基本情况，主要成就及经验教训与发展规律；对现当代文学史上有重要影响的作家、作品论析，并介绍相关的学术界最新研究成果。通过课程学习，学生能够掌握中国在现代化过程中的艰难求索历程，现当代知识分子的人格构成，并能从文学史的角度学习和理解课程内容，从微观到宏观，从宏观到微观地看待整个中国现当代文学的发生发展和出现的各种复杂现象，具备阅读、评析各类文学作品的感受力、鉴赏力，培养宏大的文学与史学观念。</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汉英语对比</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介绍汉英语言对比的基本理论和方法，并从宏观和微观两方面系统地分析汉语和英语在语音、词汇、语法、篇章和语用、修辞和语言文化方面的异同。通过本课程的学习，学生能够掌握运用汉英对比的方法进行对外汉语教学研究、翻译研究和汉语本体研究。具备英汉语言异同的自觉认识、英汉转换能力和用英语进行交流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文字学</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讲述汉字的性质和特点，重点介绍汉字的起源、汉字造字的方法、汉字的形体构造、汉字形体的演变、字义的发展变化、汉字的改革等。通过本课程的学习，学生了解汉字、认识汉字、掌握汉字、运用汉字，在《现代汉语》《古代汉语》有关汉字知识的基础上形成比较完整的汉字学理论知识体系。并能将所学用于汉语国际教育实践中，为学习汉语国际教育专业</w:t>
            </w:r>
            <w:r>
              <w:rPr>
                <w:rFonts w:hint="eastAsia" w:ascii="仿宋_GB2312" w:hAnsi="仿宋_GB2312" w:eastAsia="仿宋_GB2312" w:cs="仿宋_GB2312"/>
                <w:color w:val="000000"/>
                <w:sz w:val="28"/>
                <w:szCs w:val="28"/>
                <w:lang w:val="en-US" w:eastAsia="zh-CN"/>
              </w:rPr>
              <w:t>的其他</w:t>
            </w:r>
            <w:r>
              <w:rPr>
                <w:rFonts w:hint="eastAsia" w:ascii="仿宋_GB2312" w:hAnsi="仿宋_GB2312" w:eastAsia="仿宋_GB2312" w:cs="仿宋_GB2312"/>
                <w:color w:val="000000"/>
                <w:sz w:val="28"/>
                <w:szCs w:val="28"/>
                <w:lang w:val="en-US"/>
              </w:rPr>
              <w:t>课程打下语言文字基础，为从事汉语国际教育的教学奠定汉字的专业知识。具备运用汉字学理论知识来解决汉字运用实际问题的能力。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中国书法简史</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本课程主要内容是从书法历史的角度，结合书法实践，较为全面</w:t>
            </w:r>
            <w:r>
              <w:rPr>
                <w:rFonts w:hint="eastAsia" w:ascii="仿宋_GB2312" w:hAnsi="仿宋_GB2312" w:eastAsia="仿宋_GB2312" w:cs="仿宋_GB2312"/>
                <w:color w:val="000000"/>
                <w:sz w:val="28"/>
                <w:szCs w:val="28"/>
                <w:lang w:val="en-US" w:eastAsia="zh-CN"/>
              </w:rPr>
              <w:t>地</w:t>
            </w:r>
            <w:r>
              <w:rPr>
                <w:rFonts w:hint="eastAsia" w:ascii="仿宋_GB2312" w:hAnsi="仿宋_GB2312" w:eastAsia="仿宋_GB2312" w:cs="仿宋_GB2312"/>
                <w:color w:val="000000"/>
                <w:sz w:val="28"/>
                <w:szCs w:val="28"/>
                <w:lang w:val="en-US"/>
              </w:rPr>
              <w:t>阐述书法艺术的渊源和发展流派。在传统书法史架构的基础上，结合新时代的文化语境，追摹</w:t>
            </w:r>
            <w:bookmarkStart w:id="1" w:name="_GoBack"/>
            <w:bookmarkEnd w:id="1"/>
            <w:r>
              <w:rPr>
                <w:rFonts w:hint="eastAsia" w:ascii="仿宋_GB2312" w:hAnsi="仿宋_GB2312" w:eastAsia="仿宋_GB2312" w:cs="仿宋_GB2312"/>
                <w:color w:val="000000"/>
                <w:sz w:val="28"/>
                <w:szCs w:val="28"/>
                <w:lang w:val="en-US"/>
              </w:rPr>
              <w:t>历代真迹的真切体验中，去梳理书法艺术现象，探寻书法艺术新的生命力。通过书法史的学习和书法临摹练习，吸收整合，学生掌握书法教学的基本素养，能够兼容艺术创作等，同时为学生提供一个自我学习自我提升的方法和途径。具备分析不同书法家的作品，辨析其风格、技法和艺术特点，分析其艺术成就和影响力的能力和批判性思维。</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课程与教学案例评析</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是汉语国际教育领域课堂教学的实际案例分析。从语音教学、词汇教学、语法教学、跨文化交际等涉及语言要素和文化教学的具体案例来分析其发生的原因经过和结果，分析其中所包含的实际处置原理，模拟还原真实场景。通过本课程的学习，学生能够了解汉语国际教育的课程设计与教学案例分析的方法和步骤。掌握教学设计原则和方法、教学评估方法和工具、教学反思和改进的技巧等。通过评析教学案例，具备教学反思、跨文化教学、团队合作和沟通等方面的能力。为学生提供将来从事相关专业工作，碰到相似场景和具体情境进行预先操练的基础，加快解决同样案例问题的速度，提升解决实际问题的能力。</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为培养学生分析与解决问题的能力，使其毕业后能胜任与本专业相关的工作，建议在以下四类实习中挑选一类进行短期实习，并写出不少于</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千字的实习报告：</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）中小学以及各类社会教育培训机构实习；</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）媒体或文化、出版机构实习；</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）政府机关、企事业单位实习；</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w:t>
            </w: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）与专业相关的调研活动。</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撰写完成与专业相关的毕业论文或毕业设计，并通过答辩。</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全部课程考试成绩合格后进行毕业考核。</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综合考试注重考核应考者应用专业知识分析问题、解决问题的能力。</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毕业论文字数原则上不少于</w:t>
            </w: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千字，要求主题鲜明，观点正确，联系实际，层次清楚，语言流畅。论文须经审查答辩后评定成绩。评定成绩采用四级评定制方法，即优秀、良好、及格、不及格。</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sz w:val="28"/>
                <w:szCs w:val="28"/>
              </w:rPr>
            </w:pPr>
          </w:p>
        </w:tc>
      </w:tr>
    </w:tbl>
    <w:p>
      <w:pPr>
        <w:pStyle w:val="2"/>
        <w:bidi w:val="0"/>
        <w:rPr>
          <w:rFonts w:hint="eastAsia" w:ascii="Times New Roman" w:hAnsi="Times New Roman"/>
        </w:rPr>
      </w:pPr>
      <w:r>
        <w:rPr>
          <w:rFonts w:hint="eastAsia" w:ascii="Times New Roman" w:hAnsi="Times New Roman"/>
          <w:lang w:val="en-US" w:eastAsia="zh-CN"/>
        </w:rPr>
        <w:t>汉语国际教育</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050103</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90"/>
        <w:gridCol w:w="4987"/>
        <w:gridCol w:w="911"/>
        <w:gridCol w:w="1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00538</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中国古代文学史（一）</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00539</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中国古代文学史（二）</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00540</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外国文学史</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00541</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语言学概论</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01210</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对外汉语教学法</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13157</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现代汉语</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03708</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en-US"/>
              </w:rPr>
              <w:t>03709</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00664</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中国书法简史</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01213</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汉英语对比</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06778</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中国现当代文学史</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10471</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文字学</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13942</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课程与教学案例评析</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85"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9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2</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汉语国际教育（专升本）专业教材明细表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5"/>
        <w:gridCol w:w="1545"/>
        <w:gridCol w:w="975"/>
        <w:gridCol w:w="1200"/>
        <w:gridCol w:w="2130"/>
        <w:gridCol w:w="1929"/>
        <w:gridCol w:w="2167"/>
        <w:gridCol w:w="1841"/>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00538</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中国古代文学史（一）</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中国古代文学史（一）</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陈洪、张峰屹</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00539</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中国古代文学史（二）</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中国古代文学史（二）</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陈洪、张峰屹</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00540</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外国文学史</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外国文学史</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孟昭毅</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00541</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语言学概论</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语言学概论</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沈阳、贺阳</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01210</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对外汉语教学法</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汉语作为第二语言教学的教学方法研究</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吴勇毅</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商务印书馆出版</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13157</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现代汉语</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现代汉语</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齐沪扬</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00664</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中国书法简史</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中国书法简史</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王镛</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01213</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汉英语对比</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汉英语言对比概论</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潘文国、赵金铭、齐沪扬等</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商务印书馆</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06778</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中国现当代文学史</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中国现当代文学</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刘勇、李春雨</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10471</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文字学</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汉字学教程</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方有国、李茂康</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050103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汉语国际教育</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13942</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课程与教学案例评析</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国际汉语教学案例与分析（修订版）</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朱勇</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0986680"/>
    <w:rsid w:val="19D23220"/>
    <w:rsid w:val="482F0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2023-10-29T04:24:00Z</dcterms:created>
  <dc:creator>Administrator</dc:creator>
  <cp:lastModifiedBy>HANNAH</cp:lastModifiedBy>
  <dcterms:modified xsi:type="dcterms:W3CDTF">2023-10-29T06:18:09Z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E6C3496DD80F4731A1B44F2985906E29_12</vt:lpwstr>
  </property>
</Properties>
</file>