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45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2" w:type="pct"/>
          <w:trHeight w:val="11727" w:hRule="atLeast"/>
          <w:jc w:val="center"/>
        </w:trPr>
        <w:tc>
          <w:tcPr>
            <w:tcW w:w="4997" w:type="pct"/>
          </w:tcPr>
          <w:p>
            <w:pPr>
              <w:spacing w:line="720" w:lineRule="auto"/>
              <w:rPr>
                <w:rFonts w:ascii="Times New Roman" w:hAnsi="Times New Roman"/>
                <w:b/>
                <w:bCs/>
                <w:kern w:val="2"/>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网络与新媒体（专升本）专业考试计划</w:t>
            </w:r>
          </w:p>
          <w:p>
            <w:pPr>
              <w:spacing w:afterLines="200"/>
              <w:rPr>
                <w:rFonts w:ascii="Times New Roman" w:hAnsi="Times New Roman"/>
                <w:kern w:val="2"/>
                <w:sz w:val="40"/>
                <w:szCs w:val="72"/>
              </w:rPr>
            </w:pPr>
          </w:p>
          <w:p>
            <w:pPr>
              <w:pStyle w:val="4"/>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主考学校：中国传媒大学</w:t>
            </w:r>
          </w:p>
          <w:p>
            <w:pPr>
              <w:spacing w:afterLines="200"/>
              <w:rPr>
                <w:rFonts w:ascii="Times New Roman" w:hAnsi="Times New Roman"/>
                <w:kern w:val="2"/>
                <w:szCs w:val="36"/>
              </w:rPr>
            </w:pPr>
          </w:p>
          <w:p>
            <w:pPr>
              <w:pStyle w:val="4"/>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2023年</w:t>
            </w:r>
            <w:r>
              <w:rPr>
                <w:rFonts w:hint="eastAsia" w:eastAsia="黑体" w:cs="方正仿宋_GBK"/>
                <w:kern w:val="0"/>
                <w:szCs w:val="22"/>
                <w:lang w:val="en-US" w:eastAsia="zh-CN"/>
              </w:rPr>
              <w:t>10</w:t>
            </w:r>
            <w:r>
              <w:rPr>
                <w:rFonts w:hint="eastAsia" w:eastAsia="黑体" w:cs="方正仿宋_GBK"/>
                <w:kern w:val="0"/>
                <w:szCs w:val="22"/>
                <w:lang w:val="zh-CN"/>
              </w:rPr>
              <w:t>月制定</w:t>
            </w:r>
          </w:p>
          <w:p/>
          <w:p>
            <w:pPr>
              <w:spacing w:afterLines="200" w:line="520" w:lineRule="exact"/>
              <w:rPr>
                <w:rFonts w:ascii="Times New Roman" w:hAnsi="Times New Roman"/>
                <w:b/>
                <w:bCs/>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2" w:type="pct"/>
          <w:trHeight w:val="13277" w:hRule="atLeast"/>
        </w:trPr>
        <w:tc>
          <w:tcPr>
            <w:tcW w:w="4997" w:type="pct"/>
          </w:tcPr>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一、指导思想</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以习近平新时代中国特色社会主义思想为指导</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全面贯彻党的教育方针</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落实立德树人的根本任务</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加快学习型社会建设，紧密结合我省经济社会发展需求</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充分发挥自学考试制度优势</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培养全媒体时代的新媒体、传播学、新闻学、广告学、公共关系等跨学科应用型专业人才。</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二、学历层次及规格</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本专业为高等教育自学考试专升本层次。根据高等教育自学考试的特点，注重考核应考者掌握基础知识的程度，以及应用基础知识分析问题和解决实际问题的能力。故总体要求与一般普通高等学校网络与新媒体专业本科水平要求一致。</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本专业考试课程不得少于</w:t>
            </w:r>
            <w:r>
              <w:rPr>
                <w:rFonts w:ascii="仿宋_GB2312" w:hAnsi="仿宋_GB2312" w:eastAsia="仿宋_GB2312" w:cs="仿宋_GB2312"/>
                <w:bCs/>
                <w:kern w:val="2"/>
                <w:sz w:val="28"/>
                <w:szCs w:val="28"/>
              </w:rPr>
              <w:t>13</w:t>
            </w:r>
            <w:r>
              <w:rPr>
                <w:rFonts w:hint="eastAsia" w:ascii="仿宋_GB2312" w:hAnsi="仿宋_GB2312" w:eastAsia="仿宋_GB2312" w:cs="仿宋_GB2312"/>
                <w:bCs/>
                <w:kern w:val="2"/>
                <w:sz w:val="28"/>
                <w:szCs w:val="28"/>
              </w:rPr>
              <w:t>门，总学分不得少于</w:t>
            </w:r>
            <w:r>
              <w:rPr>
                <w:rFonts w:ascii="仿宋_GB2312" w:hAnsi="仿宋_GB2312" w:eastAsia="仿宋_GB2312" w:cs="仿宋_GB2312"/>
                <w:bCs/>
                <w:kern w:val="2"/>
                <w:sz w:val="28"/>
                <w:szCs w:val="28"/>
              </w:rPr>
              <w:t>70</w:t>
            </w:r>
            <w:r>
              <w:rPr>
                <w:rFonts w:hint="eastAsia" w:ascii="仿宋_GB2312" w:hAnsi="仿宋_GB2312" w:eastAsia="仿宋_GB2312" w:cs="仿宋_GB2312"/>
                <w:bCs/>
                <w:kern w:val="2"/>
                <w:sz w:val="28"/>
                <w:szCs w:val="28"/>
              </w:rPr>
              <w:t>学分。其中必设课程</w:t>
            </w:r>
            <w:r>
              <w:rPr>
                <w:rFonts w:ascii="仿宋_GB2312" w:hAnsi="仿宋_GB2312" w:eastAsia="仿宋_GB2312" w:cs="仿宋_GB2312"/>
                <w:bCs/>
                <w:kern w:val="2"/>
                <w:sz w:val="28"/>
                <w:szCs w:val="28"/>
              </w:rPr>
              <w:t>10</w:t>
            </w:r>
            <w:r>
              <w:rPr>
                <w:rFonts w:hint="eastAsia" w:ascii="仿宋_GB2312" w:hAnsi="仿宋_GB2312" w:eastAsia="仿宋_GB2312" w:cs="仿宋_GB2312"/>
                <w:bCs/>
                <w:kern w:val="2"/>
                <w:sz w:val="28"/>
                <w:szCs w:val="28"/>
              </w:rPr>
              <w:t>门，共计</w:t>
            </w:r>
            <w:r>
              <w:rPr>
                <w:rFonts w:ascii="仿宋_GB2312" w:hAnsi="仿宋_GB2312" w:eastAsia="仿宋_GB2312" w:cs="仿宋_GB2312"/>
                <w:bCs/>
                <w:kern w:val="2"/>
                <w:sz w:val="28"/>
                <w:szCs w:val="28"/>
              </w:rPr>
              <w:t>46</w:t>
            </w:r>
            <w:r>
              <w:rPr>
                <w:rFonts w:hint="eastAsia" w:ascii="仿宋_GB2312" w:hAnsi="仿宋_GB2312" w:eastAsia="仿宋_GB2312" w:cs="仿宋_GB2312"/>
                <w:bCs/>
                <w:kern w:val="2"/>
                <w:sz w:val="28"/>
                <w:szCs w:val="28"/>
              </w:rPr>
              <w:t>学分；选设课程不得少于</w:t>
            </w:r>
            <w:r>
              <w:rPr>
                <w:rFonts w:ascii="仿宋_GB2312" w:hAnsi="仿宋_GB2312" w:eastAsia="仿宋_GB2312" w:cs="仿宋_GB2312"/>
                <w:bCs/>
                <w:kern w:val="2"/>
                <w:sz w:val="28"/>
                <w:szCs w:val="28"/>
              </w:rPr>
              <w:t>3</w:t>
            </w:r>
            <w:r>
              <w:rPr>
                <w:rFonts w:hint="eastAsia" w:ascii="仿宋_GB2312" w:hAnsi="仿宋_GB2312" w:eastAsia="仿宋_GB2312" w:cs="仿宋_GB2312"/>
                <w:bCs/>
                <w:kern w:val="2"/>
                <w:sz w:val="28"/>
                <w:szCs w:val="28"/>
              </w:rPr>
              <w:t>门，不得少于</w:t>
            </w:r>
            <w:r>
              <w:rPr>
                <w:rFonts w:ascii="仿宋_GB2312" w:hAnsi="仿宋_GB2312" w:eastAsia="仿宋_GB2312" w:cs="仿宋_GB2312"/>
                <w:bCs/>
                <w:kern w:val="2"/>
                <w:sz w:val="28"/>
                <w:szCs w:val="28"/>
              </w:rPr>
              <w:t>24</w:t>
            </w:r>
            <w:r>
              <w:rPr>
                <w:rFonts w:hint="eastAsia" w:ascii="仿宋_GB2312" w:hAnsi="仿宋_GB2312" w:eastAsia="仿宋_GB2312" w:cs="仿宋_GB2312"/>
                <w:bCs/>
                <w:kern w:val="2"/>
                <w:sz w:val="28"/>
                <w:szCs w:val="28"/>
              </w:rPr>
              <w:t>学分。考试课程相关的实践考核环节部分不单独计入课程总门数。</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凡取得本专业所规定的全部课程考试合格成绩和规定学分，思想品德经鉴定合格，毕业论文答辩达到规定要求者，颁发高等教育自学考试本科毕业证书，国家承认其学历。其学业水平达到国家规定的学位标准且符合主考学校学位授予条件的，按《中华人民共和国高等教育法》和《中华人民共和国学位条例》的规定，将获得由主考学校授予的学士学位证书。</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三、培养目标与基本要求</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（一）培养目标</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专业培养理想信念坚定，德、智、体、美、劳全面发展，具有较高的科学文化素养、职业道德水准、创新创业能力和社会责任感，适应社会和经济发展需要，掌握新媒体、传播学、广告学、新闻学相关基本理论和基本知识，具备系统的新媒体知识与技能，熟悉国家新媒体传播领域相关政策法规，能够在各类传媒机构从事媒介策划、信息采编、内容设计与制作等工作的应用型人才。</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（二）培养要求</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本专业要求掌握人文与社会科学的基本知识，掌握新闻传播、新媒体发展历史和基本理论，获得新媒体传播与运营实践技能训练，具备从事新媒体创意、传播与运营活动的能力。主要包括：</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w:t>
            </w:r>
            <w:r>
              <w:rPr>
                <w:rFonts w:hint="eastAsia" w:ascii="仿宋_GB2312" w:hAnsi="仿宋_GB2312" w:eastAsia="仿宋_GB2312" w:cs="仿宋_GB2312"/>
                <w:bCs/>
                <w:kern w:val="2"/>
                <w:sz w:val="28"/>
                <w:szCs w:val="28"/>
                <w:lang w:val="en-US"/>
              </w:rPr>
              <w:t>掌握新媒体、传播学、广告学、新闻学、公共关系的基本理论和基本知识；</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lang w:val="en-US"/>
              </w:rPr>
              <w:t>具备熟练运用现代传播技术从事新媒体传播活动的实践能力；</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3.</w:t>
            </w:r>
            <w:r>
              <w:rPr>
                <w:rFonts w:hint="eastAsia" w:ascii="仿宋_GB2312" w:hAnsi="仿宋_GB2312" w:eastAsia="仿宋_GB2312" w:cs="仿宋_GB2312"/>
                <w:bCs/>
                <w:kern w:val="2"/>
                <w:sz w:val="28"/>
                <w:szCs w:val="28"/>
                <w:lang w:val="en-US"/>
              </w:rPr>
              <w:t>具备较强的文本解读能力，熟练掌握对文字、图形、色彩、声音等传播符号的操控技术，具有在</w:t>
            </w:r>
            <w:r>
              <w:rPr>
                <w:rFonts w:hint="eastAsia" w:ascii="仿宋_GB2312" w:hAnsi="仿宋_GB2312" w:eastAsia="仿宋_GB2312" w:cs="仿宋_GB2312"/>
                <w:bCs/>
                <w:kern w:val="2"/>
                <w:sz w:val="28"/>
                <w:szCs w:val="28"/>
                <w:lang w:val="en-US" w:eastAsia="zh-CN"/>
              </w:rPr>
              <w:t>创新型</w:t>
            </w:r>
            <w:r>
              <w:rPr>
                <w:rFonts w:hint="eastAsia" w:ascii="仿宋_GB2312" w:hAnsi="仿宋_GB2312" w:eastAsia="仿宋_GB2312" w:cs="仿宋_GB2312"/>
                <w:bCs/>
                <w:kern w:val="2"/>
                <w:sz w:val="28"/>
                <w:szCs w:val="28"/>
                <w:lang w:val="en-US"/>
              </w:rPr>
              <w:t>思维指导下灵活运用各种媒介架构传播信息的技能、技巧；</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4.</w:t>
            </w:r>
            <w:r>
              <w:rPr>
                <w:rFonts w:hint="eastAsia" w:ascii="仿宋_GB2312" w:hAnsi="仿宋_GB2312" w:eastAsia="仿宋_GB2312" w:cs="仿宋_GB2312"/>
                <w:bCs/>
                <w:kern w:val="2"/>
                <w:sz w:val="28"/>
                <w:szCs w:val="28"/>
                <w:lang w:val="en-US"/>
              </w:rPr>
              <w:t>具备运用传播规律和市场规律整体性、综合性把握现代传媒运营的能力，以及相关领域的创意与策划能力；</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5.</w:t>
            </w:r>
            <w:r>
              <w:rPr>
                <w:rFonts w:hint="eastAsia" w:ascii="仿宋_GB2312" w:hAnsi="仿宋_GB2312" w:eastAsia="仿宋_GB2312" w:cs="仿宋_GB2312"/>
                <w:bCs/>
                <w:kern w:val="2"/>
                <w:sz w:val="28"/>
                <w:szCs w:val="28"/>
                <w:lang w:val="en-US"/>
              </w:rPr>
              <w:t>熟悉国家新媒体传播领域的方针政策和法律法规，具有强烈社会责任感，坚守职业道德准则；</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6.</w:t>
            </w:r>
            <w:r>
              <w:rPr>
                <w:rFonts w:hint="eastAsia" w:ascii="仿宋_GB2312" w:hAnsi="仿宋_GB2312" w:eastAsia="仿宋_GB2312" w:cs="仿宋_GB2312"/>
                <w:bCs/>
                <w:kern w:val="2"/>
                <w:sz w:val="28"/>
                <w:szCs w:val="28"/>
                <w:lang w:val="en-US"/>
              </w:rPr>
              <w:t>具备合理的知识结构，基本掌握一门外语，具备较强的新知识、新技能的学习能力和一定的创新意识与能力。</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四、课程设置与学分</w:t>
            </w:r>
          </w:p>
          <w:p>
            <w:pPr>
              <w:snapToGrid w:val="0"/>
              <w:spacing w:line="360" w:lineRule="auto"/>
              <w:ind w:firstLine="562" w:firstLineChars="200"/>
              <w:jc w:val="left"/>
              <w:rPr>
                <w:rFonts w:ascii="仿宋_GB2312" w:hAnsi="仿宋_GB2312" w:eastAsia="仿宋_GB2312" w:cs="仿宋_GB2312"/>
                <w:b/>
                <w:kern w:val="2"/>
                <w:sz w:val="28"/>
                <w:szCs w:val="28"/>
                <w:lang w:val="en-US"/>
              </w:rPr>
            </w:pPr>
            <w:r>
              <w:rPr>
                <w:rFonts w:hint="eastAsia" w:ascii="仿宋_GB2312" w:hAnsi="仿宋_GB2312" w:eastAsia="仿宋_GB2312" w:cs="仿宋_GB2312"/>
                <w:b/>
                <w:kern w:val="2"/>
                <w:sz w:val="28"/>
                <w:szCs w:val="28"/>
                <w:lang w:val="zh-TW"/>
              </w:rPr>
              <w:t>专业代码：</w:t>
            </w:r>
            <w:bookmarkStart w:id="0" w:name="_Hlk100131453"/>
            <w:r>
              <w:rPr>
                <w:rFonts w:ascii="仿宋_GB2312" w:hAnsi="仿宋_GB2312" w:eastAsia="仿宋_GB2312" w:cs="仿宋_GB2312"/>
                <w:b/>
                <w:kern w:val="2"/>
                <w:sz w:val="28"/>
                <w:szCs w:val="28"/>
                <w:lang w:val="en-US"/>
              </w:rPr>
              <w:t>050306T</w:t>
            </w:r>
            <w:bookmarkEnd w:id="0"/>
          </w:p>
          <w:tbl>
            <w:tblPr>
              <w:tblStyle w:val="5"/>
              <w:tblW w:w="81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34"/>
              <w:gridCol w:w="612"/>
              <w:gridCol w:w="1051"/>
              <w:gridCol w:w="3283"/>
              <w:gridCol w:w="723"/>
              <w:gridCol w:w="1056"/>
              <w:gridCol w:w="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b/>
                      <w:bCs/>
                      <w:sz w:val="24"/>
                      <w:szCs w:val="24"/>
                      <w:lang w:val="zh-TW" w:eastAsia="zh-TW"/>
                    </w:rPr>
                  </w:pPr>
                  <w:r>
                    <w:rPr>
                      <w:rFonts w:hint="eastAsia" w:ascii="仿宋_GB2312" w:hAnsi="仿宋_GB2312" w:eastAsia="仿宋_GB2312" w:cs="仿宋_GB2312"/>
                      <w:b/>
                      <w:bCs/>
                      <w:sz w:val="24"/>
                      <w:szCs w:val="24"/>
                      <w:lang w:val="zh-TW" w:eastAsia="zh-TW"/>
                    </w:rPr>
                    <w:t>课程类别</w:t>
                  </w:r>
                </w:p>
              </w:tc>
              <w:tc>
                <w:tcPr>
                  <w:tcW w:w="375" w:type="pct"/>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lang w:val="zh-TW" w:eastAsia="zh-TW"/>
                    </w:rPr>
                    <w:t>序号</w:t>
                  </w:r>
                </w:p>
              </w:tc>
              <w:tc>
                <w:tcPr>
                  <w:tcW w:w="644"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lang w:val="zh-TW" w:eastAsia="zh-TW"/>
                    </w:rPr>
                    <w:t>课程代码</w:t>
                  </w:r>
                </w:p>
              </w:tc>
              <w:tc>
                <w:tcPr>
                  <w:tcW w:w="2011"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lang w:val="zh-TW" w:eastAsia="zh-TW"/>
                    </w:rPr>
                    <w:t>课程名称</w:t>
                  </w:r>
                </w:p>
              </w:tc>
              <w:tc>
                <w:tcPr>
                  <w:tcW w:w="443"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lang w:val="zh-TW" w:eastAsia="zh-TW"/>
                    </w:rPr>
                    <w:t>学分</w:t>
                  </w:r>
                </w:p>
              </w:tc>
              <w:tc>
                <w:tcPr>
                  <w:tcW w:w="647"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考核方式</w:t>
                  </w:r>
                </w:p>
              </w:tc>
              <w:tc>
                <w:tcPr>
                  <w:tcW w:w="487" w:type="pct"/>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restar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基础课</w:t>
                  </w:r>
                </w:p>
              </w:tc>
              <w:tc>
                <w:tcPr>
                  <w:tcW w:w="375"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44"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03708</w:t>
                  </w:r>
                </w:p>
              </w:tc>
              <w:tc>
                <w:tcPr>
                  <w:tcW w:w="2011"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zh-TW" w:eastAsia="zh-TW"/>
                    </w:rPr>
                    <w:t>中国近现代史纲要</w:t>
                  </w:r>
                </w:p>
              </w:tc>
              <w:tc>
                <w:tcPr>
                  <w:tcW w:w="443"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47"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487"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44"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03709</w:t>
                  </w:r>
                </w:p>
              </w:tc>
              <w:tc>
                <w:tcPr>
                  <w:tcW w:w="2011"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lang w:val="zh-TW"/>
                    </w:rPr>
                    <w:t>马克思主义基本原理概论</w:t>
                  </w:r>
                </w:p>
              </w:tc>
              <w:tc>
                <w:tcPr>
                  <w:tcW w:w="443"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647"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487"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644"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13000</w:t>
                  </w:r>
                </w:p>
              </w:tc>
              <w:tc>
                <w:tcPr>
                  <w:tcW w:w="2011"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zh-TW" w:eastAsia="zh-TW"/>
                    </w:rPr>
                    <w:t>英语（专升本）</w:t>
                  </w:r>
                </w:p>
              </w:tc>
              <w:tc>
                <w:tcPr>
                  <w:tcW w:w="443"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647"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487"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389" w:type="pct"/>
                  <w:vMerge w:val="restar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核</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心</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375"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644"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00182</w:t>
                  </w:r>
                </w:p>
              </w:tc>
              <w:tc>
                <w:tcPr>
                  <w:tcW w:w="2011"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zh-TW" w:eastAsia="zh-TW"/>
                    </w:rPr>
                    <w:t>公共关系学</w:t>
                  </w:r>
                </w:p>
              </w:tc>
              <w:tc>
                <w:tcPr>
                  <w:tcW w:w="443"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647"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487"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644"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14237</w:t>
                  </w:r>
                </w:p>
              </w:tc>
              <w:tc>
                <w:tcPr>
                  <w:tcW w:w="2011"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zh-TW" w:eastAsia="zh-TW"/>
                    </w:rPr>
                    <w:t>手机媒体概论</w:t>
                  </w:r>
                </w:p>
              </w:tc>
              <w:tc>
                <w:tcPr>
                  <w:tcW w:w="443"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647"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487"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644"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08257</w:t>
                  </w:r>
                </w:p>
              </w:tc>
              <w:tc>
                <w:tcPr>
                  <w:tcW w:w="2011"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舆论学</w:t>
                  </w:r>
                </w:p>
              </w:tc>
              <w:tc>
                <w:tcPr>
                  <w:tcW w:w="443"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647"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487"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644"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14339</w:t>
                  </w:r>
                </w:p>
              </w:tc>
              <w:tc>
                <w:tcPr>
                  <w:tcW w:w="2011"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zh-TW" w:eastAsia="zh-TW"/>
                    </w:rPr>
                    <w:t>网络传播法规</w:t>
                  </w:r>
                </w:p>
              </w:tc>
              <w:tc>
                <w:tcPr>
                  <w:tcW w:w="443"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647"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487"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644"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04741</w:t>
                  </w:r>
                </w:p>
              </w:tc>
              <w:tc>
                <w:tcPr>
                  <w:tcW w:w="2011"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zh-TW" w:eastAsia="zh-TW"/>
                    </w:rPr>
                    <w:t>计算机网络原理</w:t>
                  </w:r>
                </w:p>
              </w:tc>
              <w:tc>
                <w:tcPr>
                  <w:tcW w:w="443"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647"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487"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644"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14572</w:t>
                  </w:r>
                </w:p>
              </w:tc>
              <w:tc>
                <w:tcPr>
                  <w:tcW w:w="2011"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音视频制作与编辑</w:t>
                  </w:r>
                </w:p>
              </w:tc>
              <w:tc>
                <w:tcPr>
                  <w:tcW w:w="443"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647"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487"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vMerge w:val="restar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644"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00908</w:t>
                  </w:r>
                </w:p>
              </w:tc>
              <w:tc>
                <w:tcPr>
                  <w:tcW w:w="2011"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zh-TW" w:eastAsia="zh-TW"/>
                    </w:rPr>
                    <w:t>网络营销与策划</w:t>
                  </w:r>
                </w:p>
              </w:tc>
              <w:tc>
                <w:tcPr>
                  <w:tcW w:w="443"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647"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487"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644"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00909</w:t>
                  </w:r>
                </w:p>
              </w:tc>
              <w:tc>
                <w:tcPr>
                  <w:tcW w:w="2011"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lang w:val="zh-TW"/>
                    </w:rPr>
                    <w:t>网络营销与策划（实践）</w:t>
                  </w:r>
                </w:p>
              </w:tc>
              <w:tc>
                <w:tcPr>
                  <w:tcW w:w="443"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47"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487"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restar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375" w:type="pct"/>
                  <w:tcBorders>
                    <w:top w:val="single" w:color="auto"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644"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14814</w:t>
                  </w:r>
                </w:p>
              </w:tc>
              <w:tc>
                <w:tcPr>
                  <w:tcW w:w="2011"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rPr>
                    <w:t>媒介素养（实践）</w:t>
                  </w:r>
                </w:p>
              </w:tc>
              <w:tc>
                <w:tcPr>
                  <w:tcW w:w="443"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647"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487" w:type="pc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12</w:t>
                  </w:r>
                </w:p>
              </w:tc>
              <w:tc>
                <w:tcPr>
                  <w:tcW w:w="644"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14268</w:t>
                  </w:r>
                </w:p>
              </w:tc>
              <w:tc>
                <w:tcPr>
                  <w:tcW w:w="2011"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lang w:val="zh-TW"/>
                    </w:rPr>
                    <w:t>数字影视合成（实践）</w:t>
                  </w:r>
                </w:p>
              </w:tc>
              <w:tc>
                <w:tcPr>
                  <w:tcW w:w="443"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647"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487" w:type="pc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w:t>
                  </w:r>
                </w:p>
              </w:tc>
              <w:tc>
                <w:tcPr>
                  <w:tcW w:w="644"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rPr>
                    <w:t>14266</w:t>
                  </w:r>
                </w:p>
              </w:tc>
              <w:tc>
                <w:tcPr>
                  <w:tcW w:w="2011"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zh-TW" w:eastAsia="zh-TW"/>
                    </w:rPr>
                    <w:t>数字摄影（实践）</w:t>
                  </w:r>
                </w:p>
              </w:tc>
              <w:tc>
                <w:tcPr>
                  <w:tcW w:w="443"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rPr>
                    <w:t>6</w:t>
                  </w:r>
                </w:p>
              </w:tc>
              <w:tc>
                <w:tcPr>
                  <w:tcW w:w="647"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487" w:type="pc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vMerge w:val="restar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w:t>
                  </w:r>
                </w:p>
              </w:tc>
              <w:tc>
                <w:tcPr>
                  <w:tcW w:w="644"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06388</w:t>
                  </w:r>
                </w:p>
              </w:tc>
              <w:tc>
                <w:tcPr>
                  <w:tcW w:w="2011"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lang w:val="zh-TW"/>
                    </w:rPr>
                    <w:t>动画编辑与设计</w:t>
                  </w:r>
                </w:p>
              </w:tc>
              <w:tc>
                <w:tcPr>
                  <w:tcW w:w="443"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47"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487" w:type="pc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644"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06389</w:t>
                  </w:r>
                </w:p>
              </w:tc>
              <w:tc>
                <w:tcPr>
                  <w:tcW w:w="2011"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lang w:val="zh-TW"/>
                    </w:rPr>
                    <w:t>动画编辑与设计（实践）</w:t>
                  </w:r>
                </w:p>
              </w:tc>
              <w:tc>
                <w:tcPr>
                  <w:tcW w:w="443"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47"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487" w:type="pc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644"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14354</w:t>
                  </w:r>
                </w:p>
              </w:tc>
              <w:tc>
                <w:tcPr>
                  <w:tcW w:w="2011"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lang w:val="zh-TW"/>
                    </w:rPr>
                    <w:t>网站设计与建设（实践）</w:t>
                  </w:r>
                </w:p>
              </w:tc>
              <w:tc>
                <w:tcPr>
                  <w:tcW w:w="443"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647"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487" w:type="pc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16</w:t>
                  </w:r>
                </w:p>
              </w:tc>
              <w:tc>
                <w:tcPr>
                  <w:tcW w:w="644"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ascii="仿宋_GB2312" w:hAnsi="仿宋_GB2312" w:eastAsia="仿宋_GB2312" w:cs="仿宋_GB2312"/>
                      <w:sz w:val="24"/>
                      <w:szCs w:val="24"/>
                      <w:lang w:val="en-US"/>
                    </w:rPr>
                    <w:t>04515</w:t>
                  </w:r>
                </w:p>
              </w:tc>
              <w:tc>
                <w:tcPr>
                  <w:tcW w:w="2011"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写作基础与应用</w:t>
                  </w:r>
                </w:p>
                <w:p>
                  <w:pPr>
                    <w:snapToGrid w:val="0"/>
                    <w:rPr>
                      <w:rFonts w:ascii="仿宋_GB2312" w:hAnsi="仿宋_GB2312" w:eastAsia="仿宋_GB2312" w:cs="仿宋_GB2312"/>
                      <w:sz w:val="24"/>
                      <w:szCs w:val="24"/>
                      <w:lang w:val="zh-TW"/>
                    </w:rPr>
                  </w:pPr>
                </w:p>
              </w:tc>
              <w:tc>
                <w:tcPr>
                  <w:tcW w:w="443"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ascii="仿宋_GB2312" w:hAnsi="仿宋_GB2312" w:eastAsia="仿宋_GB2312" w:cs="仿宋_GB2312"/>
                      <w:sz w:val="24"/>
                      <w:szCs w:val="24"/>
                      <w:lang w:val="en-US"/>
                    </w:rPr>
                    <w:t>6</w:t>
                  </w:r>
                </w:p>
              </w:tc>
              <w:tc>
                <w:tcPr>
                  <w:tcW w:w="647"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lang w:val="zh-TW"/>
                    </w:rPr>
                    <w:t>笔试</w:t>
                  </w:r>
                </w:p>
              </w:tc>
              <w:tc>
                <w:tcPr>
                  <w:tcW w:w="487" w:type="pct"/>
                  <w:vMerge w:val="restar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免考</w:t>
                  </w:r>
                  <w:r>
                    <w:rPr>
                      <w:rFonts w:hint="eastAsia" w:ascii="仿宋_GB2312" w:hAnsi="仿宋_GB2312" w:eastAsia="仿宋_GB2312" w:cs="仿宋_GB2312"/>
                      <w:sz w:val="24"/>
                      <w:szCs w:val="24"/>
                      <w:lang w:val="zh-TW"/>
                    </w:rPr>
                    <w:t>英语（</w:t>
                  </w:r>
                  <w:r>
                    <w:rPr>
                      <w:rFonts w:hint="eastAsia" w:ascii="仿宋_GB2312" w:hAnsi="仿宋_GB2312" w:eastAsia="仿宋_GB2312" w:cs="仿宋_GB2312"/>
                      <w:sz w:val="24"/>
                      <w:szCs w:val="24"/>
                      <w:lang w:val="en-US"/>
                    </w:rPr>
                    <w:t>专升本</w:t>
                  </w:r>
                  <w:r>
                    <w:rPr>
                      <w:rFonts w:hint="eastAsia" w:ascii="仿宋_GB2312" w:hAnsi="仿宋_GB2312" w:eastAsia="仿宋_GB2312" w:cs="仿宋_GB2312"/>
                      <w:sz w:val="24"/>
                      <w:szCs w:val="24"/>
                      <w:lang w:val="zh-TW"/>
                    </w:rPr>
                    <w:t>）</w:t>
                  </w:r>
                  <w:r>
                    <w:rPr>
                      <w:rFonts w:hint="eastAsia" w:ascii="仿宋_GB2312" w:hAnsi="仿宋_GB2312" w:eastAsia="仿宋_GB2312" w:cs="仿宋_GB2312"/>
                      <w:sz w:val="24"/>
                      <w:szCs w:val="24"/>
                    </w:rPr>
                    <w:t>替代课程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17</w:t>
                  </w:r>
                </w:p>
              </w:tc>
              <w:tc>
                <w:tcPr>
                  <w:tcW w:w="644"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ascii="仿宋_GB2312" w:hAnsi="仿宋_GB2312" w:eastAsia="仿宋_GB2312" w:cs="仿宋_GB2312"/>
                      <w:sz w:val="24"/>
                      <w:szCs w:val="24"/>
                      <w:lang w:val="en-US"/>
                    </w:rPr>
                    <w:t>10679</w:t>
                  </w:r>
                </w:p>
              </w:tc>
              <w:tc>
                <w:tcPr>
                  <w:tcW w:w="2011"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lang w:val="en-US"/>
                    </w:rPr>
                    <w:t>网络新闻采编与制作</w:t>
                  </w:r>
                </w:p>
              </w:tc>
              <w:tc>
                <w:tcPr>
                  <w:tcW w:w="443"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ascii="仿宋_GB2312" w:hAnsi="仿宋_GB2312" w:eastAsia="仿宋_GB2312" w:cs="仿宋_GB2312"/>
                      <w:sz w:val="24"/>
                      <w:szCs w:val="24"/>
                      <w:lang w:val="en-US"/>
                    </w:rPr>
                    <w:t>4</w:t>
                  </w:r>
                </w:p>
              </w:tc>
              <w:tc>
                <w:tcPr>
                  <w:tcW w:w="647"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lang w:val="zh-TW"/>
                    </w:rPr>
                  </w:pPr>
                  <w:r>
                    <w:rPr>
                      <w:rFonts w:hint="eastAsia" w:ascii="仿宋_GB2312" w:hAnsi="仿宋_GB2312" w:eastAsia="仿宋_GB2312" w:cs="仿宋_GB2312"/>
                      <w:sz w:val="24"/>
                      <w:szCs w:val="24"/>
                      <w:lang w:val="zh-TW"/>
                    </w:rPr>
                    <w:t>笔试</w:t>
                  </w:r>
                </w:p>
              </w:tc>
              <w:tc>
                <w:tcPr>
                  <w:tcW w:w="487" w:type="pct"/>
                  <w:vMerge w:val="continue"/>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9" w:type="pc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c>
                <w:tcPr>
                  <w:tcW w:w="375" w:type="pc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18</w:t>
                  </w:r>
                </w:p>
              </w:tc>
              <w:tc>
                <w:tcPr>
                  <w:tcW w:w="644"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00000</w:t>
                  </w:r>
                </w:p>
              </w:tc>
              <w:tc>
                <w:tcPr>
                  <w:tcW w:w="2011"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毕业考核（或论文</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综合实践</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实验</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实习等）</w:t>
                  </w:r>
                </w:p>
              </w:tc>
              <w:tc>
                <w:tcPr>
                  <w:tcW w:w="443"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p>
              </w:tc>
              <w:tc>
                <w:tcPr>
                  <w:tcW w:w="647" w:type="pct"/>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p>
              </w:tc>
              <w:tc>
                <w:tcPr>
                  <w:tcW w:w="487" w:type="pct"/>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420" w:type="pct"/>
                  <w:gridSpan w:val="4"/>
                  <w:tcBorders>
                    <w:top w:val="single" w:color="000000" w:sz="4" w:space="0"/>
                    <w:left w:val="single" w:color="auto" w:sz="4" w:space="0"/>
                    <w:bottom w:val="single" w:color="000000"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zh-TW"/>
                    </w:rPr>
                    <w:t>总学分</w:t>
                  </w:r>
                </w:p>
              </w:tc>
              <w:tc>
                <w:tcPr>
                  <w:tcW w:w="1579" w:type="pct"/>
                  <w:gridSpan w:val="3"/>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72</w:t>
                  </w:r>
                </w:p>
              </w:tc>
            </w:tr>
          </w:tbl>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五、主要课程说明</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w:t>
            </w:r>
            <w:r>
              <w:rPr>
                <w:rFonts w:hint="eastAsia" w:ascii="仿宋_GB2312" w:hAnsi="仿宋_GB2312" w:eastAsia="仿宋_GB2312" w:cs="仿宋_GB2312"/>
                <w:bCs/>
                <w:kern w:val="2"/>
                <w:sz w:val="28"/>
                <w:szCs w:val="28"/>
                <w:lang w:val="en-US"/>
              </w:rPr>
              <w:t>手机媒体概论</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本课程主要内容包括手机新媒体的发展过程、手机新媒体基本理论、手机新媒体传播和经营。通过本课程学习，使考生对手机媒体的新闻传播学的实践业务知识有具体的了解。</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lang w:val="en-US"/>
              </w:rPr>
              <w:t>舆论学</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主要内容包括舆论的本质和特征、舆论产生形成的过程、舆论的种类与功能、造成舆论的手段、民意测验的方法、驾驭舆论的技巧与技能等。通过本课程的学习，使考生掌握舆论的客观法则和重要规律以及民意测验的各种手段和途径，并熟悉其基本方法和步骤，以便能够认识社会思潮的激变，洞察社会舆论的发展趋势。</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3.</w:t>
            </w:r>
            <w:r>
              <w:rPr>
                <w:rFonts w:hint="eastAsia" w:ascii="仿宋_GB2312" w:hAnsi="仿宋_GB2312" w:eastAsia="仿宋_GB2312" w:cs="仿宋_GB2312"/>
                <w:bCs/>
                <w:kern w:val="2"/>
                <w:sz w:val="28"/>
                <w:szCs w:val="28"/>
                <w:lang w:val="en-US"/>
              </w:rPr>
              <w:t>网络传播法规</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本课程主要内容包括国内网络传播有关的法律规定。通过本课程的学习，使考生熟悉国家新媒体传播领域的方针政策和法律法规。</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4.</w:t>
            </w:r>
            <w:r>
              <w:rPr>
                <w:rFonts w:hint="eastAsia" w:ascii="仿宋_GB2312" w:hAnsi="仿宋_GB2312" w:eastAsia="仿宋_GB2312" w:cs="仿宋_GB2312"/>
                <w:bCs/>
                <w:kern w:val="2"/>
                <w:sz w:val="28"/>
                <w:szCs w:val="28"/>
                <w:lang w:val="en-US"/>
              </w:rPr>
              <w:t>音视频制作与编辑</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主要内容包括音视频发展过程、实质和特点，音视频制作编辑软件操作、系统基本原理、制作过程。通过本课程的学习，使考生掌握音视频制作与编辑的基本手段和方法，同时引导考生自觉地、创造性地把制作与编辑技术所提供的视觉表现手段应用到作品中。</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5.</w:t>
            </w:r>
            <w:r>
              <w:rPr>
                <w:rFonts w:hint="eastAsia" w:ascii="仿宋_GB2312" w:hAnsi="仿宋_GB2312" w:eastAsia="仿宋_GB2312" w:cs="仿宋_GB2312"/>
                <w:bCs/>
                <w:kern w:val="2"/>
                <w:sz w:val="28"/>
                <w:szCs w:val="28"/>
                <w:lang w:val="en-US"/>
              </w:rPr>
              <w:t>动画编辑与设计</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的主要内容为动画设计创意的思维和方法，原画设计、场景设计、角色设计的基本原则和技巧，基本的动画软件使用方法和特效的基本制作方法。使考生拥有动画设计能力和制作编辑能力，为学习后续课程打下基础。</w:t>
            </w:r>
          </w:p>
          <w:p>
            <w:pPr>
              <w:pStyle w:val="4"/>
              <w:snapToGrid w:val="0"/>
              <w:spacing w:line="360" w:lineRule="auto"/>
              <w:ind w:firstLine="560" w:firstLineChars="200"/>
              <w:jc w:val="left"/>
              <w:rPr>
                <w:rFonts w:hint="eastAsia"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lang w:val="en-US"/>
              </w:rPr>
              <w:t>全国统一命题考试课程（略）</w:t>
            </w:r>
            <w:r>
              <w:rPr>
                <w:rFonts w:hint="eastAsia" w:ascii="仿宋_GB2312" w:hAnsi="仿宋_GB2312" w:eastAsia="仿宋_GB2312" w:cs="仿宋_GB2312"/>
                <w:sz w:val="28"/>
                <w:szCs w:val="28"/>
                <w:lang w:val="en-US" w:eastAsia="zh-CN"/>
              </w:rPr>
              <w:t>。</w:t>
            </w:r>
          </w:p>
          <w:p>
            <w:pPr>
              <w:pStyle w:val="4"/>
              <w:snapToGrid w:val="0"/>
              <w:spacing w:line="360" w:lineRule="auto"/>
              <w:ind w:firstLine="560" w:firstLineChars="200"/>
              <w:jc w:val="left"/>
              <w:rPr>
                <w:rFonts w:hint="eastAsia"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rPr>
              <w:t>7.</w:t>
            </w:r>
            <w:r>
              <w:rPr>
                <w:rFonts w:hint="eastAsia" w:ascii="仿宋_GB2312" w:hAnsi="仿宋_GB2312" w:eastAsia="仿宋_GB2312" w:cs="仿宋_GB2312"/>
                <w:sz w:val="28"/>
                <w:szCs w:val="28"/>
                <w:lang w:val="en-US"/>
              </w:rPr>
              <w:t>实践性学习环节课程（按主考学校要求执行）</w:t>
            </w:r>
            <w:r>
              <w:rPr>
                <w:rFonts w:hint="eastAsia" w:ascii="仿宋_GB2312" w:hAnsi="仿宋_GB2312" w:eastAsia="仿宋_GB2312" w:cs="仿宋_GB2312"/>
                <w:sz w:val="28"/>
                <w:szCs w:val="28"/>
                <w:lang w:val="en-US" w:eastAsia="zh-CN"/>
              </w:rPr>
              <w:t>。</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六、实践性环节学习考核要求</w:t>
            </w:r>
          </w:p>
          <w:p>
            <w:pPr>
              <w:snapToGrid w:val="0"/>
              <w:spacing w:line="360" w:lineRule="auto"/>
              <w:ind w:firstLine="560" w:firstLineChars="200"/>
              <w:jc w:val="left"/>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1.</w:t>
            </w:r>
            <w:r>
              <w:rPr>
                <w:rFonts w:hint="eastAsia" w:ascii="仿宋_GB2312" w:hAnsi="仿宋_GB2312" w:eastAsia="仿宋_GB2312" w:cs="仿宋_GB2312"/>
                <w:bCs/>
                <w:kern w:val="2"/>
                <w:sz w:val="28"/>
                <w:szCs w:val="28"/>
              </w:rPr>
              <w:t>含实践的课程及实践所占学分：</w:t>
            </w:r>
            <w:r>
              <w:rPr>
                <w:rFonts w:ascii="仿宋_GB2312" w:hAnsi="仿宋_GB2312" w:eastAsia="仿宋_GB2312" w:cs="仿宋_GB2312"/>
                <w:bCs/>
                <w:kern w:val="2"/>
                <w:sz w:val="28"/>
                <w:szCs w:val="28"/>
              </w:rPr>
              <w:t>00909</w:t>
            </w:r>
            <w:r>
              <w:rPr>
                <w:rFonts w:hint="eastAsia" w:ascii="仿宋_GB2312" w:hAnsi="仿宋_GB2312" w:eastAsia="仿宋_GB2312" w:cs="仿宋_GB2312"/>
                <w:bCs/>
                <w:kern w:val="2"/>
                <w:sz w:val="28"/>
                <w:szCs w:val="28"/>
              </w:rPr>
              <w:t>网络营销与策划（实践）</w:t>
            </w:r>
            <w:r>
              <w:rPr>
                <w:rFonts w:hint="eastAsia" w:ascii="仿宋_GB2312" w:hAnsi="仿宋_GB2312" w:eastAsia="仿宋_GB2312" w:cs="仿宋_GB2312"/>
                <w:bCs/>
                <w:kern w:val="2"/>
                <w:sz w:val="28"/>
                <w:szCs w:val="28"/>
                <w:lang w:eastAsia="zh-CN"/>
              </w:rPr>
              <w:t>（2），</w:t>
            </w:r>
            <w:r>
              <w:rPr>
                <w:rFonts w:ascii="仿宋_GB2312" w:hAnsi="仿宋_GB2312" w:eastAsia="仿宋_GB2312" w:cs="仿宋_GB2312"/>
                <w:bCs/>
                <w:kern w:val="2"/>
                <w:sz w:val="28"/>
                <w:szCs w:val="28"/>
              </w:rPr>
              <w:t>14814</w:t>
            </w:r>
            <w:r>
              <w:rPr>
                <w:rFonts w:hint="eastAsia" w:ascii="仿宋_GB2312" w:hAnsi="仿宋_GB2312" w:eastAsia="仿宋_GB2312" w:cs="仿宋_GB2312"/>
                <w:bCs/>
                <w:kern w:val="2"/>
                <w:sz w:val="28"/>
                <w:szCs w:val="28"/>
              </w:rPr>
              <w:t>媒介素养（实践）（</w:t>
            </w:r>
            <w:r>
              <w:rPr>
                <w:rFonts w:ascii="仿宋_GB2312" w:hAnsi="仿宋_GB2312" w:eastAsia="仿宋_GB2312" w:cs="仿宋_GB2312"/>
                <w:bCs/>
                <w:kern w:val="2"/>
                <w:sz w:val="28"/>
                <w:szCs w:val="28"/>
              </w:rPr>
              <w:t>5</w:t>
            </w:r>
            <w:r>
              <w:rPr>
                <w:rFonts w:hint="eastAsia" w:ascii="仿宋_GB2312" w:hAnsi="仿宋_GB2312" w:eastAsia="仿宋_GB2312" w:cs="仿宋_GB2312"/>
                <w:bCs/>
                <w:kern w:val="2"/>
                <w:sz w:val="28"/>
                <w:szCs w:val="28"/>
              </w:rPr>
              <w:t>）</w:t>
            </w:r>
            <w:r>
              <w:rPr>
                <w:rFonts w:hint="eastAsia" w:ascii="仿宋_GB2312" w:hAnsi="仿宋_GB2312" w:eastAsia="仿宋_GB2312" w:cs="仿宋_GB2312"/>
                <w:bCs/>
                <w:kern w:val="2"/>
                <w:sz w:val="28"/>
                <w:szCs w:val="28"/>
                <w:lang w:eastAsia="zh-CN"/>
              </w:rPr>
              <w:t>，</w:t>
            </w:r>
            <w:r>
              <w:rPr>
                <w:rFonts w:ascii="仿宋_GB2312" w:hAnsi="仿宋_GB2312" w:eastAsia="仿宋_GB2312" w:cs="仿宋_GB2312"/>
                <w:bCs/>
                <w:kern w:val="2"/>
                <w:sz w:val="28"/>
                <w:szCs w:val="28"/>
              </w:rPr>
              <w:t>14268</w:t>
            </w:r>
            <w:r>
              <w:rPr>
                <w:rFonts w:hint="eastAsia" w:ascii="仿宋_GB2312" w:hAnsi="仿宋_GB2312" w:eastAsia="仿宋_GB2312" w:cs="仿宋_GB2312"/>
                <w:bCs/>
                <w:kern w:val="2"/>
                <w:sz w:val="28"/>
                <w:szCs w:val="28"/>
              </w:rPr>
              <w:t>数字影视合成（实践）（</w:t>
            </w:r>
            <w:r>
              <w:rPr>
                <w:rFonts w:ascii="仿宋_GB2312" w:hAnsi="仿宋_GB2312" w:eastAsia="仿宋_GB2312" w:cs="仿宋_GB2312"/>
                <w:bCs/>
                <w:kern w:val="2"/>
                <w:sz w:val="28"/>
                <w:szCs w:val="28"/>
              </w:rPr>
              <w:t>6</w:t>
            </w:r>
            <w:r>
              <w:rPr>
                <w:rFonts w:hint="eastAsia" w:ascii="仿宋_GB2312" w:hAnsi="仿宋_GB2312" w:eastAsia="仿宋_GB2312" w:cs="仿宋_GB2312"/>
                <w:bCs/>
                <w:kern w:val="2"/>
                <w:sz w:val="28"/>
                <w:szCs w:val="28"/>
              </w:rPr>
              <w:t>）</w:t>
            </w:r>
            <w:r>
              <w:rPr>
                <w:rFonts w:hint="eastAsia" w:ascii="仿宋_GB2312" w:hAnsi="仿宋_GB2312" w:eastAsia="仿宋_GB2312" w:cs="仿宋_GB2312"/>
                <w:bCs/>
                <w:kern w:val="2"/>
                <w:sz w:val="28"/>
                <w:szCs w:val="28"/>
                <w:lang w:eastAsia="zh-CN"/>
              </w:rPr>
              <w:t>，</w:t>
            </w:r>
            <w:r>
              <w:rPr>
                <w:rFonts w:ascii="仿宋_GB2312" w:hAnsi="仿宋_GB2312" w:eastAsia="仿宋_GB2312" w:cs="仿宋_GB2312"/>
                <w:bCs/>
                <w:kern w:val="2"/>
                <w:sz w:val="28"/>
                <w:szCs w:val="28"/>
              </w:rPr>
              <w:t>14266</w:t>
            </w:r>
            <w:r>
              <w:rPr>
                <w:rFonts w:hint="eastAsia" w:ascii="仿宋_GB2312" w:hAnsi="仿宋_GB2312" w:eastAsia="仿宋_GB2312" w:cs="仿宋_GB2312"/>
                <w:bCs/>
                <w:kern w:val="2"/>
                <w:sz w:val="28"/>
                <w:szCs w:val="28"/>
              </w:rPr>
              <w:t>数字摄影（实践）（</w:t>
            </w:r>
            <w:r>
              <w:rPr>
                <w:rFonts w:ascii="仿宋_GB2312" w:hAnsi="仿宋_GB2312" w:eastAsia="仿宋_GB2312" w:cs="仿宋_GB2312"/>
                <w:bCs/>
                <w:kern w:val="2"/>
                <w:sz w:val="28"/>
                <w:szCs w:val="28"/>
              </w:rPr>
              <w:t>6</w:t>
            </w:r>
            <w:r>
              <w:rPr>
                <w:rFonts w:hint="eastAsia" w:ascii="仿宋_GB2312" w:hAnsi="仿宋_GB2312" w:eastAsia="仿宋_GB2312" w:cs="仿宋_GB2312"/>
                <w:bCs/>
                <w:kern w:val="2"/>
                <w:sz w:val="28"/>
                <w:szCs w:val="28"/>
              </w:rPr>
              <w:t>）</w:t>
            </w:r>
            <w:r>
              <w:rPr>
                <w:rFonts w:hint="eastAsia" w:ascii="仿宋_GB2312" w:hAnsi="仿宋_GB2312" w:eastAsia="仿宋_GB2312" w:cs="仿宋_GB2312"/>
                <w:bCs/>
                <w:kern w:val="2"/>
                <w:sz w:val="28"/>
                <w:szCs w:val="28"/>
                <w:lang w:eastAsia="zh-CN"/>
              </w:rPr>
              <w:t>，</w:t>
            </w:r>
            <w:r>
              <w:rPr>
                <w:rFonts w:ascii="仿宋_GB2312" w:hAnsi="仿宋_GB2312" w:eastAsia="仿宋_GB2312" w:cs="仿宋_GB2312"/>
                <w:bCs/>
                <w:kern w:val="2"/>
                <w:sz w:val="28"/>
                <w:szCs w:val="28"/>
              </w:rPr>
              <w:t>06389</w:t>
            </w:r>
            <w:r>
              <w:rPr>
                <w:rFonts w:hint="eastAsia" w:ascii="仿宋_GB2312" w:hAnsi="仿宋_GB2312" w:eastAsia="仿宋_GB2312" w:cs="仿宋_GB2312"/>
                <w:bCs/>
                <w:kern w:val="2"/>
                <w:sz w:val="28"/>
                <w:szCs w:val="28"/>
              </w:rPr>
              <w:t>动画编辑与设计（实践）（</w:t>
            </w:r>
            <w:r>
              <w:rPr>
                <w:rFonts w:ascii="仿宋_GB2312" w:hAnsi="仿宋_GB2312" w:eastAsia="仿宋_GB2312" w:cs="仿宋_GB2312"/>
                <w:bCs/>
                <w:kern w:val="2"/>
                <w:sz w:val="28"/>
                <w:szCs w:val="28"/>
              </w:rPr>
              <w:t>2</w:t>
            </w:r>
            <w:r>
              <w:rPr>
                <w:rFonts w:hint="eastAsia" w:ascii="仿宋_GB2312" w:hAnsi="仿宋_GB2312" w:eastAsia="仿宋_GB2312" w:cs="仿宋_GB2312"/>
                <w:bCs/>
                <w:kern w:val="2"/>
                <w:sz w:val="28"/>
                <w:szCs w:val="28"/>
              </w:rPr>
              <w:t>）</w:t>
            </w:r>
            <w:r>
              <w:rPr>
                <w:rFonts w:hint="eastAsia" w:ascii="仿宋_GB2312" w:hAnsi="仿宋_GB2312" w:eastAsia="仿宋_GB2312" w:cs="仿宋_GB2312"/>
                <w:bCs/>
                <w:kern w:val="2"/>
                <w:sz w:val="28"/>
                <w:szCs w:val="28"/>
                <w:lang w:eastAsia="zh-CN"/>
              </w:rPr>
              <w:t>，</w:t>
            </w:r>
            <w:r>
              <w:rPr>
                <w:rFonts w:ascii="仿宋_GB2312" w:hAnsi="仿宋_GB2312" w:eastAsia="仿宋_GB2312" w:cs="仿宋_GB2312"/>
                <w:bCs/>
                <w:kern w:val="2"/>
                <w:sz w:val="28"/>
                <w:szCs w:val="28"/>
              </w:rPr>
              <w:t>14354</w:t>
            </w:r>
            <w:r>
              <w:rPr>
                <w:rFonts w:hint="eastAsia" w:ascii="仿宋_GB2312" w:hAnsi="仿宋_GB2312" w:eastAsia="仿宋_GB2312" w:cs="仿宋_GB2312"/>
                <w:bCs/>
                <w:kern w:val="2"/>
                <w:sz w:val="28"/>
                <w:szCs w:val="28"/>
              </w:rPr>
              <w:t>网站设计与建设（实践）（</w:t>
            </w:r>
            <w:r>
              <w:rPr>
                <w:rFonts w:ascii="仿宋_GB2312" w:hAnsi="仿宋_GB2312" w:eastAsia="仿宋_GB2312" w:cs="仿宋_GB2312"/>
                <w:bCs/>
                <w:kern w:val="2"/>
                <w:sz w:val="28"/>
                <w:szCs w:val="28"/>
              </w:rPr>
              <w:t>5</w:t>
            </w:r>
            <w:r>
              <w:rPr>
                <w:rFonts w:hint="eastAsia" w:ascii="仿宋_GB2312" w:hAnsi="仿宋_GB2312" w:eastAsia="仿宋_GB2312" w:cs="仿宋_GB2312"/>
                <w:bCs/>
                <w:kern w:val="2"/>
                <w:sz w:val="28"/>
                <w:szCs w:val="28"/>
              </w:rPr>
              <w:t>）。</w:t>
            </w:r>
          </w:p>
          <w:p>
            <w:pPr>
              <w:snapToGrid w:val="0"/>
              <w:spacing w:line="360" w:lineRule="auto"/>
              <w:ind w:firstLine="560" w:firstLineChars="200"/>
              <w:jc w:val="left"/>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2.</w:t>
            </w:r>
            <w:r>
              <w:rPr>
                <w:rFonts w:hint="eastAsia" w:ascii="仿宋_GB2312" w:hAnsi="仿宋_GB2312" w:eastAsia="仿宋_GB2312" w:cs="仿宋_GB2312"/>
                <w:bCs/>
                <w:kern w:val="2"/>
                <w:sz w:val="28"/>
                <w:szCs w:val="28"/>
              </w:rPr>
              <w:t>凡理论考试与实践环节考核两部分相结合的课程为一门课程，考生必须取得两个部分的合格成绩方能获得该门课程的学分。</w:t>
            </w:r>
          </w:p>
          <w:p>
            <w:pPr>
              <w:snapToGrid w:val="0"/>
              <w:spacing w:line="360" w:lineRule="auto"/>
              <w:ind w:firstLine="560" w:firstLineChars="200"/>
              <w:jc w:val="left"/>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rPr>
              <w:t>3.</w:t>
            </w:r>
            <w:r>
              <w:rPr>
                <w:rFonts w:hint="eastAsia" w:ascii="仿宋_GB2312" w:hAnsi="仿宋_GB2312" w:eastAsia="仿宋_GB2312" w:cs="仿宋_GB2312"/>
                <w:bCs/>
                <w:kern w:val="2"/>
                <w:sz w:val="28"/>
                <w:szCs w:val="28"/>
              </w:rPr>
              <w:t>撰写完成与专业相关的毕业设计，并通过答辩。</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七、其他必要的说明</w:t>
            </w:r>
          </w:p>
          <w:p>
            <w:pPr>
              <w:pStyle w:val="4"/>
              <w:snapToGrid w:val="0"/>
              <w:spacing w:line="360" w:lineRule="auto"/>
              <w:ind w:firstLine="560" w:firstLineChars="200"/>
              <w:jc w:val="left"/>
              <w:rPr>
                <w:rFonts w:hint="eastAsia" w:ascii="Times New Roman" w:hAnsi="Times New Roman" w:eastAsia="仿宋_GB2312"/>
                <w:lang w:val="en-US" w:eastAsia="zh-CN"/>
              </w:rPr>
            </w:pPr>
            <w:r>
              <w:rPr>
                <w:rFonts w:hint="eastAsia" w:ascii="仿宋_GB2312" w:hAnsi="仿宋_GB2312" w:eastAsia="仿宋_GB2312" w:cs="仿宋_GB2312"/>
                <w:sz w:val="28"/>
                <w:szCs w:val="28"/>
                <w:lang w:val="en-US"/>
              </w:rPr>
              <w:t>无</w:t>
            </w:r>
            <w:r>
              <w:rPr>
                <w:rFonts w:hint="eastAsia" w:ascii="仿宋_GB2312" w:hAnsi="仿宋_GB2312" w:eastAsia="仿宋_GB2312" w:cs="仿宋_GB2312"/>
                <w:sz w:val="28"/>
                <w:szCs w:val="28"/>
                <w:lang w:val="en-US" w:eastAsia="zh-CN"/>
              </w:rPr>
              <w:t>。</w:t>
            </w:r>
          </w:p>
          <w:p>
            <w:pPr>
              <w:pStyle w:val="4"/>
            </w:pPr>
          </w:p>
        </w:tc>
      </w:tr>
    </w:tbl>
    <w:p>
      <w:pPr>
        <w:pStyle w:val="2"/>
        <w:bidi w:val="0"/>
        <w:rPr>
          <w:rFonts w:hint="eastAsia" w:ascii="Times New Roman" w:hAnsi="Times New Roman"/>
        </w:rPr>
      </w:pPr>
      <w:r>
        <w:rPr>
          <w:rFonts w:hint="eastAsia" w:ascii="Times New Roman" w:hAnsi="Times New Roman"/>
          <w:lang w:val="en-US" w:eastAsia="zh-CN"/>
        </w:rPr>
        <w:t>网络与新媒体</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050306T</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064"/>
        <w:gridCol w:w="4653"/>
        <w:gridCol w:w="921"/>
        <w:gridCol w:w="19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00182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公共关系学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00908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网络营销与策划</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00909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网络营销与策划（实践）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04741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计算机网络原理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08257</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舆论学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14237</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手机媒体概论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英语（专升本）</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06388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动画编辑与设计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06389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动画编辑与设计（实践）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14266</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数字摄影（实践）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14268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数字影视合成（实践）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14339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网络传播法规</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14354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网站设计与建设（实践）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14572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音视频制作与编辑</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14814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媒介素养（实践）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04515</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写作基础与应用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cs="宋体"/>
                <w:color w:val="auto"/>
                <w:sz w:val="18"/>
                <w:szCs w:val="18"/>
                <w:lang w:val="en-US" w:eastAsia="zh-CN"/>
              </w:rPr>
              <w:t>6</w:t>
            </w:r>
          </w:p>
        </w:tc>
        <w:tc>
          <w:tcPr>
            <w:tcW w:w="1023"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both"/>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10679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网络新闻采编与制作</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00000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8</w:t>
            </w:r>
            <w:r>
              <w:rPr>
                <w:rFonts w:hint="eastAsia" w:ascii="Times New Roman" w:hAnsi="Times New Roman" w:eastAsia="宋体" w:cs="宋体"/>
                <w:color w:val="auto"/>
                <w:kern w:val="0"/>
                <w:sz w:val="18"/>
                <w:szCs w:val="18"/>
                <w:lang w:val="en-US" w:eastAsia="zh-CN" w:bidi="ar-SA"/>
              </w:rPr>
              <w:t>2</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600" w:lineRule="exact"/>
        <w:jc w:val="center"/>
        <w:textAlignment w:val="auto"/>
        <w:rPr>
          <w:rFonts w:hint="eastAsia" w:ascii="Times New Roman" w:hAnsi="Times New Roman" w:eastAsia="方正小标宋简体"/>
          <w:color w:val="auto"/>
          <w:kern w:val="0"/>
          <w:sz w:val="36"/>
          <w:szCs w:val="36"/>
          <w:lang w:val="en-US" w:eastAsia="zh-CN"/>
        </w:rPr>
        <w:sectPr>
          <w:pgSz w:w="11906" w:h="16157"/>
          <w:pgMar w:top="1247" w:right="1287" w:bottom="1134" w:left="1417" w:header="851" w:footer="992" w:gutter="0"/>
          <w:pgBorders>
            <w:top w:val="none" w:sz="0" w:space="0"/>
            <w:left w:val="none" w:sz="0" w:space="0"/>
            <w:bottom w:val="none" w:sz="0" w:space="0"/>
            <w:right w:val="none" w:sz="0" w:space="0"/>
          </w:pgBorders>
          <w:cols w:space="425" w:num="1"/>
          <w:docGrid w:type="lines" w:linePitch="312" w:charSpace="0"/>
        </w:sectPr>
      </w:pPr>
    </w:p>
    <w:p>
      <w:pPr>
        <w:pStyle w:val="2"/>
        <w:bidi w:val="0"/>
        <w:rPr>
          <w:rFonts w:ascii="Times New Roman" w:hAnsi="Times New Roman"/>
        </w:rPr>
      </w:pPr>
      <w:r>
        <w:rPr>
          <w:rFonts w:hint="eastAsia" w:ascii="Times New Roman" w:hAnsi="Times New Roman"/>
          <w:lang w:val="en-US" w:eastAsia="zh-CN"/>
        </w:rPr>
        <w:t>网络与新媒体（专升本）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742"/>
        <w:gridCol w:w="2420"/>
        <w:gridCol w:w="665"/>
        <w:gridCol w:w="677"/>
        <w:gridCol w:w="692"/>
        <w:gridCol w:w="2470"/>
        <w:gridCol w:w="656"/>
        <w:gridCol w:w="7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294" w:type="pct"/>
            <w:gridSpan w:val="4"/>
            <w:tcBorders>
              <w:left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1" w:type="pct"/>
            <w:gridSpan w:val="4"/>
            <w:tcBorders>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74" w:type="pct"/>
            <w:vMerge w:val="restart"/>
            <w:tcBorders>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94" w:type="pct"/>
            <w:gridSpan w:val="4"/>
            <w:tcBorders>
              <w:top w:val="single" w:color="auto" w:sz="4" w:space="0"/>
              <w:left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网络与新媒体（专升本），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050306</w:t>
            </w:r>
            <w:r>
              <w:rPr>
                <w:rFonts w:hint="default" w:ascii="Times New Roman" w:hAnsi="Times New Roman" w:eastAsia="黑体" w:cs="Times New Roman"/>
                <w:color w:val="auto"/>
                <w:kern w:val="0"/>
                <w:sz w:val="18"/>
                <w:szCs w:val="18"/>
                <w:lang w:val="en-US" w:eastAsia="zh-CN"/>
              </w:rPr>
              <w:t>T</w:t>
            </w:r>
          </w:p>
        </w:tc>
        <w:tc>
          <w:tcPr>
            <w:tcW w:w="2331" w:type="pct"/>
            <w:gridSpan w:val="4"/>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网络与新媒体（专升本），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050306</w:t>
            </w:r>
            <w:r>
              <w:rPr>
                <w:rFonts w:hint="default" w:ascii="Times New Roman" w:hAnsi="Times New Roman" w:eastAsia="黑体" w:cs="Times New Roman"/>
                <w:color w:val="auto"/>
                <w:kern w:val="0"/>
                <w:sz w:val="18"/>
                <w:szCs w:val="18"/>
                <w:lang w:val="en-US" w:eastAsia="zh-CN"/>
              </w:rPr>
              <w:t>T</w:t>
            </w:r>
          </w:p>
        </w:tc>
        <w:tc>
          <w:tcPr>
            <w:tcW w:w="374"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tcBorders>
              <w:top w:val="single" w:color="auto" w:sz="4" w:space="0"/>
              <w:left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8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3"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59"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0"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74"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tcBorders>
              <w:top w:val="single" w:color="auto" w:sz="4" w:space="0"/>
              <w:left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85" w:type="pct"/>
            <w:tcBorders>
              <w:top w:val="single" w:color="auto" w:sz="4" w:space="0"/>
              <w:bottom w:val="single" w:color="auto" w:sz="4"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55" w:type="pct"/>
            <w:tcBorders>
              <w:top w:val="single" w:color="auto" w:sz="4" w:space="0"/>
              <w:bottom w:val="single" w:color="auto" w:sz="4"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43" w:type="pct"/>
            <w:tcBorders>
              <w:top w:val="single" w:color="auto" w:sz="4" w:space="0"/>
              <w:bottom w:val="single" w:color="auto" w:sz="4"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1" w:type="pct"/>
            <w:tcBorders>
              <w:top w:val="single" w:color="auto" w:sz="4" w:space="0"/>
              <w:bottom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59" w:type="pct"/>
            <w:tcBorders>
              <w:top w:val="single" w:color="auto" w:sz="4" w:space="0"/>
              <w:bottom w:val="single" w:color="auto" w:sz="4"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1" w:type="pct"/>
            <w:tcBorders>
              <w:top w:val="single" w:color="auto" w:sz="4" w:space="0"/>
              <w:bottom w:val="single" w:color="auto" w:sz="4"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40" w:type="pct"/>
            <w:tcBorders>
              <w:top w:val="single" w:color="auto" w:sz="4" w:space="0"/>
              <w:bottom w:val="single" w:color="auto" w:sz="4"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74" w:type="pct"/>
            <w:vMerge w:val="restar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tcBorders>
              <w:top w:val="single" w:color="auto" w:sz="4" w:space="0"/>
              <w:left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85" w:type="pct"/>
            <w:tcBorders>
              <w:top w:val="single" w:color="auto" w:sz="4" w:space="0"/>
              <w:bottom w:val="single" w:color="auto" w:sz="4"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55" w:type="pct"/>
            <w:tcBorders>
              <w:top w:val="single" w:color="auto" w:sz="4" w:space="0"/>
              <w:bottom w:val="single" w:color="auto" w:sz="4"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43" w:type="pct"/>
            <w:tcBorders>
              <w:top w:val="single" w:color="auto" w:sz="4" w:space="0"/>
              <w:bottom w:val="single" w:color="auto" w:sz="4"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51" w:type="pct"/>
            <w:tcBorders>
              <w:top w:val="single" w:color="auto" w:sz="4" w:space="0"/>
              <w:bottom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9" w:type="pct"/>
            <w:tcBorders>
              <w:top w:val="single" w:color="auto" w:sz="4" w:space="0"/>
              <w:bottom w:val="single" w:color="auto" w:sz="4"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1" w:type="pct"/>
            <w:tcBorders>
              <w:top w:val="single" w:color="auto" w:sz="4" w:space="0"/>
              <w:bottom w:val="single" w:color="auto" w:sz="4"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40" w:type="pct"/>
            <w:tcBorders>
              <w:top w:val="single" w:color="auto" w:sz="4" w:space="0"/>
              <w:bottom w:val="single" w:color="auto" w:sz="4"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74"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tcBorders>
              <w:top w:val="single" w:color="auto" w:sz="4" w:space="0"/>
              <w:left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8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13000</w:t>
            </w:r>
          </w:p>
        </w:tc>
        <w:tc>
          <w:tcPr>
            <w:tcW w:w="125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英语（专升本）</w:t>
            </w:r>
          </w:p>
        </w:tc>
        <w:tc>
          <w:tcPr>
            <w:tcW w:w="343"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59"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13000</w:t>
            </w:r>
          </w:p>
        </w:tc>
        <w:tc>
          <w:tcPr>
            <w:tcW w:w="128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英语（专升本）</w:t>
            </w:r>
          </w:p>
        </w:tc>
        <w:tc>
          <w:tcPr>
            <w:tcW w:w="340"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74"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tcBorders>
              <w:top w:val="single" w:color="auto" w:sz="4" w:space="0"/>
              <w:left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8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00182</w:t>
            </w:r>
          </w:p>
        </w:tc>
        <w:tc>
          <w:tcPr>
            <w:tcW w:w="125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公共关系学</w:t>
            </w:r>
          </w:p>
        </w:tc>
        <w:tc>
          <w:tcPr>
            <w:tcW w:w="343"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9"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00182</w:t>
            </w:r>
          </w:p>
        </w:tc>
        <w:tc>
          <w:tcPr>
            <w:tcW w:w="128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公共关系学</w:t>
            </w:r>
          </w:p>
        </w:tc>
        <w:tc>
          <w:tcPr>
            <w:tcW w:w="340"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74"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tcBorders>
              <w:top w:val="single" w:color="auto" w:sz="4" w:space="0"/>
              <w:left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8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14237</w:t>
            </w:r>
          </w:p>
        </w:tc>
        <w:tc>
          <w:tcPr>
            <w:tcW w:w="125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手机媒体概论</w:t>
            </w:r>
          </w:p>
        </w:tc>
        <w:tc>
          <w:tcPr>
            <w:tcW w:w="343"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59"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14237</w:t>
            </w:r>
          </w:p>
        </w:tc>
        <w:tc>
          <w:tcPr>
            <w:tcW w:w="128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手机媒体概论</w:t>
            </w:r>
          </w:p>
        </w:tc>
        <w:tc>
          <w:tcPr>
            <w:tcW w:w="340"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74"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tcBorders>
              <w:top w:val="single" w:color="auto" w:sz="4" w:space="0"/>
              <w:left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8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08257</w:t>
            </w:r>
          </w:p>
        </w:tc>
        <w:tc>
          <w:tcPr>
            <w:tcW w:w="125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舆论学</w:t>
            </w:r>
          </w:p>
        </w:tc>
        <w:tc>
          <w:tcPr>
            <w:tcW w:w="343"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9"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08257</w:t>
            </w:r>
          </w:p>
        </w:tc>
        <w:tc>
          <w:tcPr>
            <w:tcW w:w="128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舆论学</w:t>
            </w:r>
          </w:p>
        </w:tc>
        <w:tc>
          <w:tcPr>
            <w:tcW w:w="340"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74"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tcBorders>
              <w:top w:val="single" w:color="auto" w:sz="4" w:space="0"/>
              <w:left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8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14339</w:t>
            </w:r>
          </w:p>
        </w:tc>
        <w:tc>
          <w:tcPr>
            <w:tcW w:w="125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网络传播法规</w:t>
            </w:r>
          </w:p>
        </w:tc>
        <w:tc>
          <w:tcPr>
            <w:tcW w:w="343"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59"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14339</w:t>
            </w:r>
          </w:p>
        </w:tc>
        <w:tc>
          <w:tcPr>
            <w:tcW w:w="128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网络传播法规</w:t>
            </w:r>
          </w:p>
        </w:tc>
        <w:tc>
          <w:tcPr>
            <w:tcW w:w="340"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74"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tcBorders>
              <w:top w:val="single" w:color="auto" w:sz="4" w:space="0"/>
              <w:left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8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04741</w:t>
            </w:r>
          </w:p>
        </w:tc>
        <w:tc>
          <w:tcPr>
            <w:tcW w:w="125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计算机网络原理</w:t>
            </w:r>
          </w:p>
        </w:tc>
        <w:tc>
          <w:tcPr>
            <w:tcW w:w="343"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59"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04741</w:t>
            </w:r>
          </w:p>
        </w:tc>
        <w:tc>
          <w:tcPr>
            <w:tcW w:w="128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计算机网络原理</w:t>
            </w:r>
          </w:p>
        </w:tc>
        <w:tc>
          <w:tcPr>
            <w:tcW w:w="340"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74"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tcBorders>
              <w:top w:val="single" w:color="auto" w:sz="4" w:space="0"/>
              <w:left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8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14572</w:t>
            </w:r>
          </w:p>
        </w:tc>
        <w:tc>
          <w:tcPr>
            <w:tcW w:w="125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音视频制作与编辑</w:t>
            </w:r>
          </w:p>
        </w:tc>
        <w:tc>
          <w:tcPr>
            <w:tcW w:w="343"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59"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14572</w:t>
            </w:r>
          </w:p>
        </w:tc>
        <w:tc>
          <w:tcPr>
            <w:tcW w:w="128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音视频制作与编辑</w:t>
            </w:r>
          </w:p>
        </w:tc>
        <w:tc>
          <w:tcPr>
            <w:tcW w:w="340"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74"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vMerge w:val="restart"/>
            <w:tcBorders>
              <w:top w:val="single" w:color="auto" w:sz="4" w:space="0"/>
              <w:left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8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00908</w:t>
            </w:r>
          </w:p>
        </w:tc>
        <w:tc>
          <w:tcPr>
            <w:tcW w:w="125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网络营销与策划</w:t>
            </w:r>
          </w:p>
        </w:tc>
        <w:tc>
          <w:tcPr>
            <w:tcW w:w="343"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1" w:type="pct"/>
            <w:vMerge w:val="restar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59"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00908</w:t>
            </w:r>
          </w:p>
        </w:tc>
        <w:tc>
          <w:tcPr>
            <w:tcW w:w="128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网络营销与策划</w:t>
            </w:r>
          </w:p>
        </w:tc>
        <w:tc>
          <w:tcPr>
            <w:tcW w:w="340"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74"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vMerge w:val="continue"/>
            <w:tcBorders>
              <w:top w:val="single" w:color="auto" w:sz="4" w:space="0"/>
              <w:left w:val="single" w:color="auto" w:sz="12" w:space="0"/>
              <w:bottom w:val="single" w:color="auto" w:sz="4" w:space="0"/>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8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00909</w:t>
            </w:r>
          </w:p>
        </w:tc>
        <w:tc>
          <w:tcPr>
            <w:tcW w:w="125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CN"/>
              </w:rPr>
              <w:t>网络营销与策划（实践）</w:t>
            </w:r>
          </w:p>
        </w:tc>
        <w:tc>
          <w:tcPr>
            <w:tcW w:w="343"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51"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59"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00909</w:t>
            </w:r>
          </w:p>
        </w:tc>
        <w:tc>
          <w:tcPr>
            <w:tcW w:w="128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网络营销与策划（实践）</w:t>
            </w:r>
          </w:p>
        </w:tc>
        <w:tc>
          <w:tcPr>
            <w:tcW w:w="340"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74"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85" w:type="pct"/>
            <w:tcBorders>
              <w:top w:val="single" w:color="auto" w:sz="4" w:space="0"/>
              <w:left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14266</w:t>
            </w:r>
          </w:p>
        </w:tc>
        <w:tc>
          <w:tcPr>
            <w:tcW w:w="125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数字摄影（实践）</w:t>
            </w:r>
          </w:p>
        </w:tc>
        <w:tc>
          <w:tcPr>
            <w:tcW w:w="343"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59"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14266</w:t>
            </w:r>
          </w:p>
        </w:tc>
        <w:tc>
          <w:tcPr>
            <w:tcW w:w="128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数字摄影（实践）</w:t>
            </w:r>
          </w:p>
        </w:tc>
        <w:tc>
          <w:tcPr>
            <w:tcW w:w="340"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74"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vMerge w:val="restart"/>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85" w:type="pct"/>
            <w:tcBorders>
              <w:top w:val="single" w:color="auto" w:sz="4" w:space="0"/>
              <w:left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06388</w:t>
            </w:r>
          </w:p>
        </w:tc>
        <w:tc>
          <w:tcPr>
            <w:tcW w:w="125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动画编辑与设计</w:t>
            </w:r>
          </w:p>
        </w:tc>
        <w:tc>
          <w:tcPr>
            <w:tcW w:w="343"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51" w:type="pct"/>
            <w:vMerge w:val="restar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59"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06388</w:t>
            </w:r>
          </w:p>
        </w:tc>
        <w:tc>
          <w:tcPr>
            <w:tcW w:w="128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动画编辑与设计</w:t>
            </w:r>
          </w:p>
        </w:tc>
        <w:tc>
          <w:tcPr>
            <w:tcW w:w="340"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74"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vMerge w:val="continue"/>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85" w:type="pct"/>
            <w:tcBorders>
              <w:top w:val="single" w:color="auto" w:sz="4" w:space="0"/>
              <w:left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06389</w:t>
            </w:r>
          </w:p>
        </w:tc>
        <w:tc>
          <w:tcPr>
            <w:tcW w:w="125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动画编辑与设计</w:t>
            </w:r>
            <w:r>
              <w:rPr>
                <w:rFonts w:hint="eastAsia" w:ascii="Times New Roman" w:hAnsi="Times New Roman" w:eastAsia="宋体" w:cs="宋体"/>
                <w:color w:val="auto"/>
                <w:sz w:val="18"/>
                <w:szCs w:val="18"/>
                <w:lang w:val="zh-TW" w:eastAsia="zh-CN"/>
              </w:rPr>
              <w:t>（实践）</w:t>
            </w:r>
          </w:p>
        </w:tc>
        <w:tc>
          <w:tcPr>
            <w:tcW w:w="343"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51"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59"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06389</w:t>
            </w:r>
          </w:p>
        </w:tc>
        <w:tc>
          <w:tcPr>
            <w:tcW w:w="128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动画编辑与设计（实践）</w:t>
            </w:r>
          </w:p>
        </w:tc>
        <w:tc>
          <w:tcPr>
            <w:tcW w:w="340"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74"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13</w:t>
            </w:r>
          </w:p>
        </w:tc>
        <w:tc>
          <w:tcPr>
            <w:tcW w:w="385" w:type="pct"/>
            <w:tcBorders>
              <w:top w:val="single" w:color="auto" w:sz="4" w:space="0"/>
              <w:left w:val="single" w:color="auto" w:sz="4" w:space="0"/>
              <w:bottom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14354</w:t>
            </w:r>
          </w:p>
        </w:tc>
        <w:tc>
          <w:tcPr>
            <w:tcW w:w="1255" w:type="pct"/>
            <w:tcBorders>
              <w:top w:val="single" w:color="auto" w:sz="4" w:space="0"/>
              <w:bottom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CN"/>
              </w:rPr>
              <w:t>网站设计与建设（实践）</w:t>
            </w:r>
          </w:p>
        </w:tc>
        <w:tc>
          <w:tcPr>
            <w:tcW w:w="343" w:type="pct"/>
            <w:tcBorders>
              <w:top w:val="single" w:color="auto" w:sz="4" w:space="0"/>
              <w:bottom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1" w:type="pct"/>
            <w:tcBorders>
              <w:top w:val="single" w:color="auto" w:sz="4" w:space="0"/>
              <w:bottom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13</w:t>
            </w:r>
          </w:p>
        </w:tc>
        <w:tc>
          <w:tcPr>
            <w:tcW w:w="359" w:type="pct"/>
            <w:tcBorders>
              <w:top w:val="single" w:color="auto" w:sz="4" w:space="0"/>
              <w:bottom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14354</w:t>
            </w:r>
          </w:p>
        </w:tc>
        <w:tc>
          <w:tcPr>
            <w:tcW w:w="1281" w:type="pct"/>
            <w:tcBorders>
              <w:top w:val="single" w:color="auto" w:sz="4" w:space="0"/>
              <w:bottom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网站设计与建设（实践）</w:t>
            </w:r>
          </w:p>
        </w:tc>
        <w:tc>
          <w:tcPr>
            <w:tcW w:w="340" w:type="pct"/>
            <w:tcBorders>
              <w:top w:val="single" w:color="auto" w:sz="4" w:space="0"/>
              <w:bottom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74" w:type="pct"/>
            <w:vMerge w:val="continue"/>
            <w:tcBorders>
              <w:top w:val="single" w:color="auto" w:sz="4" w:space="0"/>
              <w:bottom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tcBorders>
              <w:top w:val="single" w:color="auto" w:sz="12" w:space="0"/>
              <w:left w:val="single" w:color="auto" w:sz="12" w:space="0"/>
              <w:bottom w:val="single" w:color="auto" w:sz="4" w:space="0"/>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14</w:t>
            </w:r>
          </w:p>
        </w:tc>
        <w:tc>
          <w:tcPr>
            <w:tcW w:w="385" w:type="pct"/>
            <w:tcBorders>
              <w:top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04507</w:t>
            </w:r>
          </w:p>
        </w:tc>
        <w:tc>
          <w:tcPr>
            <w:tcW w:w="1255" w:type="pct"/>
            <w:tcBorders>
              <w:top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动画场景设计</w:t>
            </w:r>
          </w:p>
        </w:tc>
        <w:tc>
          <w:tcPr>
            <w:tcW w:w="343" w:type="pct"/>
            <w:tcBorders>
              <w:top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1" w:type="pct"/>
            <w:tcBorders>
              <w:top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14</w:t>
            </w:r>
          </w:p>
        </w:tc>
        <w:tc>
          <w:tcPr>
            <w:tcW w:w="359" w:type="pct"/>
            <w:tcBorders>
              <w:top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14814</w:t>
            </w:r>
          </w:p>
        </w:tc>
        <w:tc>
          <w:tcPr>
            <w:tcW w:w="1281" w:type="pct"/>
            <w:tcBorders>
              <w:top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媒介素养（实践）</w:t>
            </w:r>
          </w:p>
        </w:tc>
        <w:tc>
          <w:tcPr>
            <w:tcW w:w="340" w:type="pct"/>
            <w:tcBorders>
              <w:top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74" w:type="pct"/>
            <w:vMerge w:val="restart"/>
            <w:tcBorders>
              <w:top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tcBorders>
              <w:top w:val="single" w:color="auto" w:sz="4" w:space="0"/>
              <w:left w:val="single" w:color="auto" w:sz="12"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15</w:t>
            </w:r>
          </w:p>
        </w:tc>
        <w:tc>
          <w:tcPr>
            <w:tcW w:w="38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14347</w:t>
            </w:r>
          </w:p>
        </w:tc>
        <w:tc>
          <w:tcPr>
            <w:tcW w:w="1255"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网络影视动画</w:t>
            </w:r>
          </w:p>
        </w:tc>
        <w:tc>
          <w:tcPr>
            <w:tcW w:w="343"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15</w:t>
            </w:r>
          </w:p>
        </w:tc>
        <w:tc>
          <w:tcPr>
            <w:tcW w:w="359"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14268</w:t>
            </w:r>
          </w:p>
        </w:tc>
        <w:tc>
          <w:tcPr>
            <w:tcW w:w="1281"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TW" w:eastAsia="zh-TW"/>
              </w:rPr>
              <w:t>数字影视合成（实践）</w:t>
            </w:r>
          </w:p>
        </w:tc>
        <w:tc>
          <w:tcPr>
            <w:tcW w:w="340" w:type="pct"/>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74" w:type="pct"/>
            <w:vMerge w:val="continue"/>
            <w:tcBorders>
              <w:top w:val="single" w:color="auto" w:sz="4" w:space="0"/>
              <w:bottom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5000" w:type="pct"/>
            <w:gridSpan w:val="9"/>
            <w:tcBorders>
              <w:top w:val="single" w:color="auto" w:sz="4" w:space="0"/>
              <w:left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网络与新媒体（专升本）专业</w:t>
      </w:r>
      <w:bookmarkStart w:id="1" w:name="_GoBack"/>
      <w:bookmarkEnd w:id="1"/>
      <w:r>
        <w:rPr>
          <w:rFonts w:hint="eastAsia" w:ascii="微软雅黑" w:hAnsi="微软雅黑" w:eastAsia="微软雅黑" w:cs="微软雅黑"/>
          <w:sz w:val="44"/>
          <w:szCs w:val="44"/>
          <w:lang w:val="en-US" w:eastAsia="zh-CN"/>
        </w:rPr>
        <w:t>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0"/>
        <w:gridCol w:w="1575"/>
        <w:gridCol w:w="990"/>
        <w:gridCol w:w="870"/>
        <w:gridCol w:w="3165"/>
        <w:gridCol w:w="2430"/>
        <w:gridCol w:w="1013"/>
        <w:gridCol w:w="1864"/>
        <w:gridCol w:w="1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00182</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公共关系学</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公共关系学</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廖为建</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00908</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网络营销与策划</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网络营销与策划</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秦良娟</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00909</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网络营销与策划（实践）</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04741</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计算机网络原理</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计算机网络原理</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李全龙</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08257</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舆论学</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舆论学</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李彪</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14237</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手机媒体概论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手机媒体概论</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匡文波</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06388</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动画编辑与设计</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动画概论</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王宁</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06389</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动画编辑与设计（实践）</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14266</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数字摄影（实践）</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14268</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数字影视合成（实践）</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14339</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网络传播法规</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网络传播法规与伦理教程</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黄瑚</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复旦大学出版社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14354</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网站设计与建设（实践）</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14572</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音视频制作与编辑</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数字视频设计与制作技术</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卢锋、沈大为、季静</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14814</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媒介素养（实践）</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11734</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互动媒体设计（一）（实践）</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050306T</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网络与新媒体</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13466</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电脑三维设计（实践）</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219A24E4"/>
    <w:rsid w:val="3DC27A56"/>
    <w:rsid w:val="5CF02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2023-10-29T04:31:00Z</dcterms:created>
  <dc:creator>Administrator</dc:creator>
  <cp:lastModifiedBy>HANNAH</cp:lastModifiedBy>
  <dcterms:modified xsi:type="dcterms:W3CDTF">2023-10-29T06:26:01Z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7E21D833109042C584D7E8621065A825_12</vt:lpwstr>
  </property>
</Properties>
</file>