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Spec="center" w:tblpY="22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334" w:hRule="atLeast"/>
        </w:trPr>
        <w:tc>
          <w:tcPr>
            <w:tcW w:w="500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val="0"/>
              <w:autoSpaceDN w:val="0"/>
              <w:spacing w:before="0" w:beforeAutospacing="0" w:after="0" w:afterAutospacing="0" w:line="720" w:lineRule="auto"/>
              <w:ind w:left="0" w:right="0"/>
              <w:jc w:val="center"/>
              <w:rPr>
                <w:rFonts w:hint="default" w:ascii="Times New Roman" w:hAnsi="Times New Roman" w:cs="方正仿宋_GBK"/>
                <w:b/>
                <w:bCs/>
                <w:sz w:val="44"/>
                <w:szCs w:val="48"/>
                <w:bdr w:val="none" w:color="auto" w:sz="0" w:space="0"/>
              </w:rPr>
            </w:pPr>
          </w:p>
          <w:p>
            <w:pPr>
              <w:pStyle w:val="2"/>
              <w:keepNext w:val="0"/>
              <w:keepLines w:val="0"/>
              <w:spacing w:before="60" w:beforeAutospacing="1" w:afterAutospacing="1" w:line="240" w:lineRule="auto"/>
              <w:rPr>
                <w:rFonts w:hint="eastAsia" w:ascii="宋体" w:hAnsi="宋体" w:eastAsia="黑体" w:cs="Times New Roman"/>
                <w:b/>
                <w:bCs/>
                <w:sz w:val="44"/>
                <w:szCs w:val="48"/>
                <w:lang w:val="en-US"/>
              </w:rPr>
            </w:pPr>
            <w:r>
              <w:rPr>
                <w:rFonts w:hint="eastAsia" w:ascii="宋体" w:hAnsi="宋体" w:eastAsia="黑体" w:cs="Times New Roman"/>
                <w:b/>
                <w:bCs/>
                <w:sz w:val="44"/>
                <w:szCs w:val="48"/>
              </w:rPr>
              <w:t>高等教育自学考试</w:t>
            </w:r>
          </w:p>
          <w:p>
            <w:pPr>
              <w:pStyle w:val="2"/>
              <w:keepNext w:val="0"/>
              <w:keepLines w:val="0"/>
              <w:spacing w:before="60" w:beforeAutospacing="1" w:afterAutospacing="1" w:line="240" w:lineRule="auto"/>
              <w:rPr>
                <w:rFonts w:hint="eastAsia" w:ascii="宋体" w:hAnsi="宋体" w:eastAsia="黑体" w:cs="Times New Roman"/>
                <w:b/>
                <w:bCs/>
                <w:sz w:val="44"/>
                <w:szCs w:val="48"/>
                <w:lang w:val="en-US"/>
              </w:rPr>
            </w:pPr>
            <w:r>
              <w:rPr>
                <w:rFonts w:hint="eastAsia" w:ascii="宋体" w:hAnsi="宋体" w:eastAsia="黑体" w:cs="Times New Roman"/>
                <w:b/>
                <w:bCs/>
                <w:sz w:val="44"/>
                <w:szCs w:val="48"/>
              </w:rPr>
              <w:t>工程管理（专升本）专业考试计划</w:t>
            </w:r>
          </w:p>
          <w:p>
            <w:pPr>
              <w:keepNext w:val="0"/>
              <w:keepLines w:val="0"/>
              <w:widowControl w:val="0"/>
              <w:suppressLineNumbers w:val="0"/>
              <w:autoSpaceDE w:val="0"/>
              <w:autoSpaceDN w:val="0"/>
              <w:spacing w:before="0" w:beforeAutospacing="0" w:after="480" w:afterLines="200" w:afterAutospacing="0"/>
              <w:ind w:left="0" w:right="0"/>
              <w:jc w:val="center"/>
              <w:rPr>
                <w:rFonts w:hint="default" w:ascii="Times New Roman" w:hAnsi="Times New Roman" w:cs="方正仿宋_GBK"/>
                <w:sz w:val="40"/>
                <w:szCs w:val="72"/>
                <w:bdr w:val="none" w:color="auto" w:sz="0" w:space="0"/>
              </w:rPr>
            </w:pPr>
          </w:p>
          <w:p>
            <w:pPr>
              <w:keepNext w:val="0"/>
              <w:keepLines w:val="0"/>
              <w:widowControl w:val="0"/>
              <w:suppressLineNumbers w:val="0"/>
              <w:autoSpaceDE w:val="0"/>
              <w:autoSpaceDN w:val="0"/>
              <w:spacing w:before="0" w:beforeAutospacing="0" w:after="480" w:afterLines="200" w:afterAutospacing="0"/>
              <w:ind w:left="0" w:right="0"/>
              <w:jc w:val="center"/>
              <w:rPr>
                <w:rFonts w:hint="default" w:ascii="Times New Roman" w:hAnsi="Times New Roman" w:cs="方正仿宋_GBK"/>
                <w:szCs w:val="36"/>
                <w:bdr w:val="none" w:color="auto" w:sz="0" w:space="0"/>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en-US" w:eastAsia="zh-CN"/>
              </w:rPr>
              <w:t>主考学校：攀枝花学院</w:t>
            </w:r>
          </w:p>
          <w:p>
            <w:pPr>
              <w:keepNext w:val="0"/>
              <w:keepLines w:val="0"/>
              <w:widowControl w:val="0"/>
              <w:suppressLineNumbers w:val="0"/>
              <w:autoSpaceDE w:val="0"/>
              <w:autoSpaceDN w:val="0"/>
              <w:spacing w:before="0" w:beforeAutospacing="0" w:after="480" w:afterLines="200" w:afterAutospacing="0"/>
              <w:ind w:left="0" w:right="0"/>
              <w:jc w:val="center"/>
              <w:rPr>
                <w:rFonts w:hint="default" w:ascii="Times New Roman" w:hAnsi="Times New Roman" w:cs="方正仿宋_GBK"/>
                <w:b/>
                <w:bCs/>
                <w:bdr w:val="none" w:color="auto" w:sz="0" w:space="0"/>
              </w:rPr>
            </w:pPr>
          </w:p>
          <w:p>
            <w:pPr>
              <w:pStyle w:val="4"/>
              <w:widowControl/>
              <w:rPr>
                <w:rFonts w:hint="default" w:ascii="Times New Roman" w:hAnsi="Times New Roman" w:eastAsia="黑体" w:cs="方正仿宋_GBK"/>
                <w:b/>
                <w:bCs/>
                <w:bdr w:val="none" w:color="auto" w:sz="0" w:space="0"/>
              </w:rPr>
            </w:pPr>
          </w:p>
          <w:p>
            <w:pPr>
              <w:pStyle w:val="4"/>
              <w:widowControl/>
              <w:rPr>
                <w:rFonts w:hint="default" w:ascii="Times New Roman" w:hAnsi="Times New Roman" w:eastAsia="黑体" w:cs="方正仿宋_GBK"/>
                <w:b/>
                <w:bCs/>
                <w:bdr w:val="none" w:color="auto" w:sz="0" w:space="0"/>
              </w:rPr>
            </w:pPr>
          </w:p>
          <w:p>
            <w:pPr>
              <w:pStyle w:val="4"/>
              <w:widowControl/>
              <w:rPr>
                <w:rFonts w:hint="default" w:ascii="Times New Roman" w:hAnsi="Times New Roman" w:eastAsia="黑体" w:cs="方正仿宋_GBK"/>
                <w:b/>
                <w:bCs/>
                <w:bdr w:val="none" w:color="auto" w:sz="0" w:space="0"/>
              </w:rPr>
            </w:pPr>
          </w:p>
          <w:p>
            <w:pPr>
              <w:pStyle w:val="4"/>
              <w:widowControl/>
              <w:rPr>
                <w:rFonts w:hint="default" w:ascii="Times New Roman" w:hAnsi="Times New Roman" w:cs="方正仿宋_GBK"/>
                <w:bdr w:val="none" w:color="auto" w:sz="0" w:space="0"/>
              </w:rPr>
            </w:pPr>
          </w:p>
          <w:p>
            <w:pPr>
              <w:pStyle w:val="3"/>
              <w:suppressLineNumbers w:val="0"/>
              <w:spacing w:beforeAutospacing="0" w:afterAutospacing="0"/>
              <w:ind w:left="0" w:right="0"/>
              <w:jc w:val="center"/>
              <w:rPr>
                <w:rFonts w:hint="eastAsia" w:ascii="Arial" w:hAnsi="Arial"/>
                <w:bCs w:val="0"/>
                <w:lang w:val="zh-CN" w:bidi="ar-SA"/>
              </w:rPr>
            </w:pPr>
            <w:r>
              <w:rPr>
                <w:rFonts w:hint="eastAsia" w:ascii="Arial" w:hAnsi="Arial"/>
                <w:bCs w:val="0"/>
                <w:lang w:val="zh-CN" w:bidi="ar-SA"/>
              </w:rPr>
              <w:t>四川省高等教育招生考试委员会</w:t>
            </w:r>
          </w:p>
          <w:p>
            <w:pPr>
              <w:pStyle w:val="3"/>
              <w:suppressLineNumbers w:val="0"/>
              <w:spacing w:beforeAutospacing="0" w:afterAutospacing="0"/>
              <w:ind w:left="0" w:right="0"/>
              <w:jc w:val="center"/>
              <w:rPr>
                <w:rFonts w:hint="eastAsia" w:ascii="Arial" w:hAnsi="Arial"/>
                <w:bCs w:val="0"/>
                <w:lang w:val="zh-CN" w:bidi="ar-SA"/>
              </w:rPr>
            </w:pPr>
            <w:r>
              <w:rPr>
                <w:rFonts w:hint="eastAsia" w:ascii="Arial" w:hAnsi="Arial"/>
                <w:bCs w:val="0"/>
                <w:lang w:val="zh-CN" w:bidi="ar-SA"/>
              </w:rPr>
              <w:t>2023年10月制定</w:t>
            </w:r>
          </w:p>
          <w:p>
            <w:pPr>
              <w:keepNext w:val="0"/>
              <w:keepLines w:val="0"/>
              <w:widowControl w:val="0"/>
              <w:suppressLineNumbers w:val="0"/>
              <w:autoSpaceDE w:val="0"/>
              <w:autoSpaceDN w:val="0"/>
              <w:spacing w:before="0" w:beforeAutospacing="0" w:after="0" w:afterAutospacing="0" w:line="520" w:lineRule="exact"/>
              <w:ind w:left="0" w:right="0"/>
              <w:jc w:val="center"/>
              <w:rPr>
                <w:rFonts w:hint="default" w:ascii="Times New Roman" w:hAnsi="Times New Roman" w:eastAsia="微软雅黑" w:cs="方正仿宋_GBK"/>
                <w:b/>
                <w:bCs/>
                <w:sz w:val="30"/>
                <w:szCs w:val="30"/>
                <w:bdr w:val="none" w:color="auto" w:sz="0" w:space="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334" w:hRule="atLeast"/>
        </w:trPr>
        <w:tc>
          <w:tcPr>
            <w:tcW w:w="5000"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一、指导思想</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widowControl/>
              <w:snapToGrid w:val="0"/>
              <w:spacing w:line="360" w:lineRule="auto"/>
              <w:ind w:lef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sz w:val="28"/>
                <w:szCs w:val="28"/>
                <w:bdr w:val="none" w:color="auto" w:sz="0" w:space="0"/>
              </w:rPr>
              <w:t>工程管理（专升本）专业严格遵循国家高等教育自学考试的相关规定，以适应社会主义市场经济需要为前提，以土木工程建设行业为背景，在符合国家高等教育专业课程设置的相关要求下，设置本专业相关的教学课程，为国家培养具备工程管理专业知识和技能的应用型专门人才提供一定的平台。</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二、学历层次及规格</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高等教育自学考试工程管理（专升本）专业的学历层次为本科，学科门类为管理学，专业类别为管理科学与工程类。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本专业考试计划规定合格课程门数15门（其中考试课程相关的实践考核环节部分不单独计入课程总门数），总学分71学分。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凡按照本专业考试计划的规定，取得相应课程合格成绩且达到规定学分要求，毕业环节和实践性环节考核合格，思想品德经鉴定符合要求者，经审核通过，由四川省高等教育招生考试委员会颁发工程管理（专升本）专业毕业证书，主考学校副署，国家承认学历。符合高等学历继续教育学士学位授予条件者，由主考学校按规定授予学士学位。</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三、培养目标与基本要求</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培养目标：本专业培养理想信念坚定，德、智、体、美、劳全面发展，具有较高的科学文化素养、职业道德水准、创新创业能力和社会责任感，适应社会和经济发展需要，具备土木工程与工程管理相关经济、管理、法律和信息技术的基本理论、基本知识，具有应用所学工程及管理经济知识并熟练运用现代计算机软件工具进行项目全局分析和优化的能力，能够在土木工程领域从事工程决策和全过程工程管理等方面工作的应用型人才。</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基本要求：本专业要求掌握土木工程技术与工程管理相关经济、管理、法律和信息技术的基本理论、基本知识，具备解决工程管理相关问题的基本能力，具有一般工程建设施工管理的实际应用能力。主要包括：</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1.掌握土木工程技术和工程管理专业领域的基本理论、基本知识；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2.具有综合运用工程技术、管理科学、信息技术和方法以及法律法规开展工程项目施工与管理的基本能力；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3.熟悉工程管理的有关法规、规范与规程；</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4.了解工程管理专业的发展动态和相关学科的新理论、新方法、新知识；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5.具有初步的科学研究和应用技术开发能力，满足工程项目管理领域的工作需求；</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6.具有社会责任意识，坚守职业道德规范，具备环境保护意识，能够自觉践行工程管理活动可持续发展理念；</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color w:val="000000"/>
                <w:sz w:val="28"/>
                <w:szCs w:val="28"/>
                <w:bdr w:val="none" w:color="auto" w:sz="0" w:space="0"/>
              </w:rPr>
            </w:pPr>
            <w:r>
              <w:rPr>
                <w:rFonts w:hint="eastAsia" w:ascii="仿宋_GB2312" w:hAnsi="仿宋_GB2312" w:eastAsia="仿宋_GB2312" w:cs="仿宋_GB2312"/>
                <w:color w:val="000000"/>
                <w:kern w:val="0"/>
                <w:sz w:val="28"/>
                <w:szCs w:val="28"/>
                <w:bdr w:val="none" w:color="auto" w:sz="0" w:space="0"/>
                <w:lang w:val="en-US" w:eastAsia="zh-CN" w:bidi="ar"/>
              </w:rPr>
              <w:t>7.具备对新知识、新技能的学习能力和一定的创新创业能力。</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四、课程设置与学分</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sz w:val="28"/>
                <w:szCs w:val="28"/>
                <w:bdr w:val="none" w:color="auto" w:sz="0" w:space="0"/>
              </w:rPr>
            </w:pPr>
            <w:r>
              <w:rPr>
                <w:rFonts w:hint="eastAsia" w:ascii="仿宋_GB2312" w:hAnsi="仿宋_GB2312" w:eastAsia="仿宋_GB2312" w:cs="仿宋_GB2312"/>
                <w:b/>
                <w:bCs/>
                <w:kern w:val="0"/>
                <w:sz w:val="28"/>
                <w:szCs w:val="28"/>
                <w:bdr w:val="none" w:color="auto" w:sz="0" w:space="0"/>
                <w:lang w:val="en-US" w:eastAsia="zh-CN" w:bidi="ar"/>
              </w:rPr>
              <w:t>专业代码：</w:t>
            </w:r>
            <w:r>
              <w:rPr>
                <w:rFonts w:hint="eastAsia" w:ascii="仿宋_GB2312" w:hAnsi="仿宋_GB2312" w:eastAsia="仿宋_GB2312" w:cs="仿宋_GB2312"/>
                <w:b/>
                <w:bCs w:val="0"/>
                <w:kern w:val="0"/>
                <w:sz w:val="28"/>
                <w:szCs w:val="28"/>
                <w:bdr w:val="none" w:color="auto" w:sz="0" w:space="0"/>
                <w:lang w:val="en-US" w:eastAsia="zh-CN" w:bidi="ar"/>
              </w:rPr>
              <w:t>120103</w:t>
            </w: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Layout w:type="autofit"/>
              <w:tblCellMar>
                <w:top w:w="0" w:type="dxa"/>
                <w:left w:w="108" w:type="dxa"/>
                <w:bottom w:w="0" w:type="dxa"/>
                <w:right w:w="108" w:type="dxa"/>
              </w:tblCellMar>
            </w:tblPr>
            <w:tblGrid>
              <w:gridCol w:w="817"/>
              <w:gridCol w:w="720"/>
              <w:gridCol w:w="864"/>
              <w:gridCol w:w="3355"/>
              <w:gridCol w:w="575"/>
              <w:gridCol w:w="864"/>
              <w:gridCol w:w="7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课程类别</w:t>
                  </w: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序号</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课程</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代码</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课程名称</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学分</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考试</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方式</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公</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共</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基</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础</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w:t>
                  </w: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03708</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中国近现代史纲要</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2</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2</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03709</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马克思主义基本原理概论</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3</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10993</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工程数学（线性代数、概率论与数理统计）</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6</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专</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业</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核</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心</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w:t>
                  </w:r>
                </w:p>
              </w:tc>
              <w:tc>
                <w:tcPr>
                  <w:tcW w:w="72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02382</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管理信息系统</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02383</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管理信息系统（实践）</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实践</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10633</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工程造价管理</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6</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6</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13620</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工程安全管理与环境保护</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7</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13634</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工程合同管理</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8</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13648</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工程项目管理</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13649</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工程项目管理（实践）</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实践</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9</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13683</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管理学原理（中级）</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6</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专</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业</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拓</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展</w:t>
                  </w:r>
                </w:p>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课</w:t>
                  </w: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10</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04156</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建筑工程经济</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11</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06393</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土木工程概论</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12</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06939</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建筑法规</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13</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06396</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国际工程承包与管理</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14</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04618</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工程施工</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15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01854</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工程质量管理</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5</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笔试</w:t>
                  </w: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72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kern w:val="0"/>
                      <w:sz w:val="24"/>
                      <w:szCs w:val="24"/>
                      <w:bdr w:val="none" w:color="auto" w:sz="0" w:space="0"/>
                      <w:lang w:val="en-US" w:eastAsia="zh-CN" w:bidi="ar"/>
                    </w:rPr>
                    <w:t>16</w:t>
                  </w: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00000</w:t>
                  </w:r>
                </w:p>
              </w:tc>
              <w:tc>
                <w:tcPr>
                  <w:tcW w:w="335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毕业考核（或论文\综合实践\实验\实习等）</w:t>
                  </w:r>
                </w:p>
              </w:tc>
              <w:tc>
                <w:tcPr>
                  <w:tcW w:w="5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c>
                <w:tcPr>
                  <w:tcW w:w="864"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c>
                <w:tcPr>
                  <w:tcW w:w="721"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default" w:ascii="Calibri" w:hAnsi="Calibri" w:cs="Times New Roman"/>
                      <w:sz w:val="20"/>
                      <w:szCs w:val="20"/>
                    </w:rPr>
                  </w:pPr>
                </w:p>
              </w:tc>
              <w:tc>
                <w:tcPr>
                  <w:tcW w:w="4939" w:type="dxa"/>
                  <w:gridSpan w:val="3"/>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总学分</w:t>
                  </w:r>
                </w:p>
              </w:tc>
              <w:tc>
                <w:tcPr>
                  <w:tcW w:w="2160" w:type="dxa"/>
                  <w:gridSpan w:val="3"/>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val="0"/>
                    <w:suppressLineNumbers w:val="0"/>
                    <w:autoSpaceDE w:val="0"/>
                    <w:autoSpaceDN w:val="0"/>
                    <w:snapToGrid w:val="0"/>
                    <w:spacing w:before="0" w:beforeAutospacing="0" w:after="0" w:afterAutospacing="0"/>
                    <w:ind w:left="0" w:right="0"/>
                    <w:jc w:val="center"/>
                    <w:rPr>
                      <w:rFonts w:hint="eastAsia" w:ascii="仿宋_GB2312" w:hAnsi="仿宋_GB2312" w:eastAsia="仿宋_GB2312" w:cs="仿宋_GB2312"/>
                      <w:sz w:val="24"/>
                      <w:szCs w:val="24"/>
                      <w:bdr w:val="none" w:color="auto" w:sz="0" w:space="0"/>
                    </w:rPr>
                  </w:pPr>
                  <w:r>
                    <w:rPr>
                      <w:rFonts w:hint="eastAsia" w:ascii="仿宋_GB2312" w:hAnsi="仿宋_GB2312" w:eastAsia="仿宋_GB2312" w:cs="仿宋_GB2312"/>
                      <w:kern w:val="0"/>
                      <w:sz w:val="24"/>
                      <w:szCs w:val="24"/>
                      <w:bdr w:val="none" w:color="auto" w:sz="0" w:space="0"/>
                      <w:lang w:val="en-US" w:eastAsia="zh-CN" w:bidi="ar"/>
                    </w:rPr>
                    <w:t>71</w:t>
                  </w:r>
                </w:p>
              </w:tc>
            </w:tr>
          </w:tbl>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五、主要课程说明</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1.工程造价管理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建设项目决策阶段的造价控制、设计阶段的造价控制、招投标与合同价格的确定、施工阶段的造价控制、建设工程的竣工决算等。通过本课程的学习，使学生掌握全过程工程造价管理的基本原理、工程造价控制的方法和措施，具有运用原理、技术方法解决工程建设中实际问题的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2.工程安全管理和环境保护</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安全生产与环境保护相关的法律法规、建设施工安全教育、建筑施工安全检查、建筑施工安全事故管理、文明施工、绿色施工与职业健康安全管理，建筑施工现场安全资料管理、各分部分项工程安全技术、危险性较大的分部分项工程安全管理、建筑施工环境保护与管理等。通过本课程的学习，使学生掌握建筑工程施工安全管理和环境保护的理论与知识，具有“安全第一，预防为主”的安全意识，具有将知识应用于研究和解决工程安全和环境保护方面实际问题的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3.工程合同管理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工程合同法律基础知识及工程招标投标与合同管理的基本理论，包括建设工程合同法律基础、建设工程发包承包制度、建设工程招标投标、建设工程施工招标投标实务、建设工程勘察设计与建设工程监理招标投标实务、建设工程相关合同及工程合同管理、建设工程索赔管理等。通过本课程的学习，使学生掌握工程合同的基本原理与方法，具有从事工程招标、投标和合同拟定及管理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4.建筑工程经济</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工程建设程序，项目可行性研究，资金的时间价值及项目经济效果评价，项目不确定性分析，项目资金筹措，财务评价和国民经济评价，费用效益分析与技术经济综合评价，机械设备的更新分析，建筑业价值工程等。通过本课程的学习，使学生了解建筑工程经济的基本理论、方法和实践，提高学生的知识水平和应用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5.土木工程概论</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工程材料、土木工程基本结构形式、工程荷载、土木工程与工程结构、结构的使用性和耐久性、抗震结构工程、工程事故和工程加固以及房屋增层、建筑施工、工程与经济、施工管理、国际工程承包、建设监理、房地产业与物业管理、计算机在土木工程中的应用、土木工程的未来，以及一些大型土木工程项目等。通过本课程的学习，使学生对土木工程有一个初步的了解，产生浓厚的兴趣，巩固专业思想，激发学习的主动性和积极性。</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6.建筑法规</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建设法规概述及建筑许可、城乡规划、建设用地、建设工程咨询、建设工程交易、建设工程合同、建设工程安全生产、建设工程质量等法律制度以及建设工程相关法律制度、建设工程纠纷解决法律制度等。通过本课程的学习，使学生了解工程建设法律法规的基本内容，为从事建设工程工作打下法律基础。</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7.国际工程承包与管理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国际工程承包市场开拓、国际工程项目管理模式与合同模式、国际工程招标程序与资格预审、工程招标与评标、承包商投标与报价、FIDIC合同条件与合同管理、国际工程索赔管理及案例、承包商资金筹集与管理、国际工程的物资采购与管理、国际工程风险与保险等。通过本课程的学习，使学生提高国际工程管理的认知和实践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8.工程施工</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土方工程、基础工程、砌体工程、混凝土结构工程、结构安装工程、建筑结构施工、桥梁结构工程施工、路面施工、隧道施工、装饰工程、防水工程、施工组织概论、流水施工、网络计划技术、单位工程施工组织设计、施工组织总设计等。通过本课程的学习，使学生掌握建筑工程、道路工程、桥梁工程、隧道工程等专业施工方面的知识，具备一定工程施工的能力。</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9.工程质量管理</w:t>
            </w:r>
          </w:p>
          <w:p>
            <w:pPr>
              <w:keepNext w:val="0"/>
              <w:keepLines w:val="0"/>
              <w:widowControl w:val="0"/>
              <w:suppressLineNumbers w:val="0"/>
              <w:autoSpaceDE w:val="0"/>
              <w:autoSpaceDN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本课程主要内容是工程项目质量管理概论、质量管理体系及卓越绩效管理、工程项目设计阶段质量管理、设备采购和监造质量管理、过程控制与质量改进、工程项目施工阶段质量管理、工程项目施工质量验收、质量管理的工具和方法以及工程项目安全管理等。通过本课程的学习，使学生建立严格的工程质量意识，初步掌握工程质量管理原理与基本方法。</w:t>
            </w:r>
          </w:p>
          <w:p>
            <w:pPr>
              <w:pStyle w:val="4"/>
              <w:widowControl/>
              <w:snapToGrid w:val="0"/>
              <w:spacing w:line="360" w:lineRule="auto"/>
              <w:ind w:lef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sz w:val="28"/>
                <w:szCs w:val="28"/>
                <w:bdr w:val="none" w:color="auto" w:sz="0" w:space="0"/>
              </w:rPr>
              <w:t>10.全国统一命题考试课程（略）。</w:t>
            </w:r>
          </w:p>
          <w:p>
            <w:pPr>
              <w:pStyle w:val="4"/>
              <w:widowControl/>
              <w:snapToGrid w:val="0"/>
              <w:spacing w:line="360" w:lineRule="auto"/>
              <w:ind w:lef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sz w:val="28"/>
                <w:szCs w:val="28"/>
                <w:bdr w:val="none" w:color="auto" w:sz="0" w:space="0"/>
              </w:rPr>
              <w:t>11.实践性学习环节课程（按主考学校要求执行）。</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六、实践性环节学习考核要求</w:t>
            </w:r>
          </w:p>
          <w:p>
            <w:pPr>
              <w:pStyle w:val="4"/>
              <w:widowControl/>
              <w:snapToGrid w:val="0"/>
              <w:spacing w:line="360" w:lineRule="auto"/>
              <w:ind w:lef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sz w:val="28"/>
                <w:szCs w:val="28"/>
                <w:bdr w:val="none" w:color="auto" w:sz="0" w:space="0"/>
              </w:rPr>
              <w:t>1.含实验的课程及实验所占学分：管理信息系统（1）。</w:t>
            </w:r>
          </w:p>
          <w:p>
            <w:pPr>
              <w:pStyle w:val="4"/>
              <w:widowControl/>
              <w:snapToGrid w:val="0"/>
              <w:spacing w:line="360" w:lineRule="auto"/>
              <w:ind w:lef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sz w:val="28"/>
                <w:szCs w:val="28"/>
                <w:bdr w:val="none" w:color="auto" w:sz="0" w:space="0"/>
              </w:rPr>
              <w:t>2.含课程设计的课程及课程设计所占学分：工程项目管理（1）。凡理论考试与实践环节考核两部分相结合的课程为一门课程，考生必须取得两个部分的合格成绩方能获得该门课程的学分。</w:t>
            </w:r>
          </w:p>
          <w:p>
            <w:pPr>
              <w:pStyle w:val="4"/>
              <w:widowControl/>
              <w:snapToGrid w:val="0"/>
              <w:spacing w:line="360" w:lineRule="auto"/>
              <w:ind w:lef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sz w:val="28"/>
                <w:szCs w:val="28"/>
                <w:bdr w:val="none" w:color="auto" w:sz="0" w:space="0"/>
              </w:rPr>
              <w:t>3.毕业论文或毕业设计。</w:t>
            </w:r>
          </w:p>
          <w:p>
            <w:pPr>
              <w:keepNext w:val="0"/>
              <w:keepLines w:val="0"/>
              <w:widowControl w:val="0"/>
              <w:suppressLineNumbers w:val="0"/>
              <w:autoSpaceDE w:val="0"/>
              <w:autoSpaceDN w:val="0"/>
              <w:snapToGrid w:val="0"/>
              <w:spacing w:before="0" w:beforeAutospacing="0" w:after="0" w:afterAutospacing="0" w:line="360" w:lineRule="auto"/>
              <w:ind w:left="0" w:right="0" w:firstLine="562" w:firstLineChars="200"/>
              <w:jc w:val="left"/>
              <w:rPr>
                <w:rFonts w:hint="eastAsia" w:ascii="仿宋_GB2312" w:hAnsi="仿宋_GB2312" w:eastAsia="仿宋_GB2312" w:cs="仿宋_GB2312"/>
                <w:b/>
                <w:bCs w:val="0"/>
                <w:color w:val="000000"/>
                <w:sz w:val="28"/>
                <w:szCs w:val="28"/>
                <w:bdr w:val="none" w:color="auto" w:sz="0" w:space="0"/>
              </w:rPr>
            </w:pPr>
            <w:r>
              <w:rPr>
                <w:rFonts w:hint="eastAsia" w:ascii="仿宋_GB2312" w:hAnsi="仿宋_GB2312" w:eastAsia="仿宋_GB2312" w:cs="仿宋_GB2312"/>
                <w:b/>
                <w:bCs w:val="0"/>
                <w:color w:val="000000"/>
                <w:kern w:val="0"/>
                <w:sz w:val="28"/>
                <w:szCs w:val="28"/>
                <w:bdr w:val="none" w:color="auto" w:sz="0" w:space="0"/>
                <w:lang w:val="en-US" w:eastAsia="zh-CN" w:bidi="ar"/>
              </w:rPr>
              <w:t>七、其他必要的说明</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1.土木建筑大类各专业专科毕业生均可直接报考本专业。</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bdr w:val="none" w:color="auto" w:sz="0" w:space="0"/>
              </w:rPr>
            </w:pPr>
            <w:r>
              <w:rPr>
                <w:rFonts w:hint="eastAsia" w:ascii="仿宋_GB2312" w:hAnsi="仿宋_GB2312" w:eastAsia="仿宋_GB2312" w:cs="仿宋_GB2312"/>
                <w:kern w:val="0"/>
                <w:sz w:val="28"/>
                <w:szCs w:val="28"/>
                <w:bdr w:val="none" w:color="auto" w:sz="0" w:space="0"/>
                <w:lang w:val="en-US" w:eastAsia="zh-CN" w:bidi="ar"/>
              </w:rPr>
              <w:t>2.其他专业专科毕业生也可报考本专业，但需具有工程技术、工程经济、管理学、工程建设法规等本专业所需的基础知识。</w:t>
            </w:r>
          </w:p>
          <w:p>
            <w:pPr>
              <w:pStyle w:val="4"/>
              <w:widowControl/>
              <w:rPr>
                <w:bdr w:val="none" w:color="auto" w:sz="0" w:space="0"/>
              </w:rPr>
            </w:pPr>
          </w:p>
        </w:tc>
      </w:tr>
    </w:tbl>
    <w:p>
      <w:pPr>
        <w:pStyle w:val="2"/>
      </w:pPr>
      <w:r>
        <w:rPr>
          <w:rFonts w:hint="eastAsia"/>
        </w:rPr>
        <w:t>工程管理（专升本）专业课程设置与学分</w:t>
      </w:r>
    </w:p>
    <w:p>
      <w:pPr>
        <w:pBdr>
          <w:top w:val="none" w:color="auto" w:sz="0" w:space="1"/>
          <w:left w:val="none" w:color="auto" w:sz="0" w:space="4"/>
          <w:bottom w:val="none" w:color="auto" w:sz="0" w:space="1"/>
          <w:right w:val="none" w:color="auto" w:sz="0" w:space="4"/>
        </w:pBdr>
        <w:autoSpaceDE w:val="0"/>
        <w:autoSpaceDN w:val="0"/>
        <w:spacing w:after="156" w:afterLines="50" w:line="500" w:lineRule="exact"/>
        <w:ind w:firstLine="240" w:firstLineChars="100"/>
        <w:jc w:val="center"/>
        <w:rPr>
          <w:rFonts w:eastAsia="黑体" w:cs="黑体"/>
          <w:kern w:val="0"/>
          <w:sz w:val="24"/>
          <w:szCs w:val="22"/>
        </w:rPr>
      </w:pPr>
      <w:r>
        <w:rPr>
          <w:rFonts w:hint="eastAsia" w:eastAsia="黑体" w:cs="黑体"/>
          <w:kern w:val="0"/>
          <w:sz w:val="24"/>
          <w:szCs w:val="22"/>
        </w:rPr>
        <w:t>专业层次：专升本                               专业代码：120103</w:t>
      </w:r>
    </w:p>
    <w:tbl>
      <w:tblPr>
        <w:tblStyle w:val="7"/>
        <w:tblW w:w="50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071"/>
        <w:gridCol w:w="4688"/>
        <w:gridCol w:w="927"/>
        <w:gridCol w:w="1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4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56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48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02382</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管理信息系统</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vMerge w:val="continue"/>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02383</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管理信息系统（实践）</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2</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06393</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土木工程概论</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3</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06939</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建筑法规</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10993</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工程数学（线性代数、概率论与数理统计）</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13648</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工程项目管理</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vMerge w:val="continue"/>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13649</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工程项目管理（实践）</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13683</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管理学原理（中级）</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7</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03708</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中国近现代史纲要</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2</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8</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03709</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马克思主义基本原理概论</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9</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01854</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工程质量管理</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04156</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建筑工程经济</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11</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04618</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工程施工</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12</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06396</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国际工程承包与管理</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r>
              <w:rPr>
                <w:rFonts w:hint="eastAsia" w:cs="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10633</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工程造价管理</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lef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13620</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工程安全管理与环境保护</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102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15</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13634</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工程合同管理</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48"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16</w:t>
            </w:r>
          </w:p>
        </w:tc>
        <w:tc>
          <w:tcPr>
            <w:tcW w:w="564"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00000</w:t>
            </w:r>
          </w:p>
        </w:tc>
        <w:tc>
          <w:tcPr>
            <w:tcW w:w="247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rPr>
                <w:rFonts w:cs="宋体"/>
                <w:kern w:val="0"/>
                <w:sz w:val="18"/>
                <w:szCs w:val="18"/>
              </w:rPr>
            </w:pPr>
            <w:r>
              <w:rPr>
                <w:rFonts w:hint="eastAsia" w:cs="宋体"/>
                <w:kern w:val="0"/>
                <w:sz w:val="18"/>
                <w:szCs w:val="18"/>
                <w:lang w:bidi="ar"/>
              </w:rPr>
              <w:t>毕业考核（或论文\综合实践\实验\实习等）</w:t>
            </w:r>
          </w:p>
        </w:tc>
        <w:tc>
          <w:tcPr>
            <w:tcW w:w="489" w:type="pct"/>
            <w:tcBorders>
              <w:tl2br w:val="nil"/>
              <w:tr2bl w:val="nil"/>
            </w:tcBorders>
            <w:vAlign w:val="center"/>
          </w:tcPr>
          <w:p>
            <w:pPr>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w:t>
            </w:r>
          </w:p>
        </w:tc>
        <w:tc>
          <w:tcPr>
            <w:tcW w:w="102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13"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合     计</w:t>
            </w:r>
          </w:p>
        </w:tc>
        <w:tc>
          <w:tcPr>
            <w:tcW w:w="3986"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81学分</w:t>
            </w:r>
          </w:p>
        </w:tc>
      </w:tr>
    </w:tbl>
    <w:p>
      <w:pPr>
        <w:pBdr>
          <w:top w:val="none" w:color="auto" w:sz="0" w:space="1"/>
          <w:left w:val="none" w:color="auto" w:sz="0" w:space="4"/>
          <w:bottom w:val="none" w:color="auto" w:sz="0" w:space="1"/>
          <w:right w:val="none" w:color="auto" w:sz="0" w:space="4"/>
        </w:pBdr>
        <w:spacing w:line="600" w:lineRule="exact"/>
        <w:rPr>
          <w:rFonts w:eastAsia="方正书宋简体" w:cs="宋体"/>
          <w:b/>
          <w:bCs/>
          <w:kern w:val="0"/>
          <w:sz w:val="36"/>
          <w:szCs w:val="36"/>
        </w:rPr>
        <w:sectPr>
          <w:pgSz w:w="11906" w:h="16157"/>
          <w:pgMar w:top="1247" w:right="1287" w:bottom="1134" w:left="1417" w:header="851" w:footer="992" w:gutter="0"/>
          <w:cols w:space="425" w:num="1"/>
          <w:docGrid w:type="lines" w:linePitch="312" w:charSpace="0"/>
        </w:sectPr>
      </w:pPr>
    </w:p>
    <w:p>
      <w:pPr>
        <w:pStyle w:val="2"/>
      </w:pPr>
      <w:r>
        <w:rPr>
          <w:rFonts w:hint="eastAsia"/>
        </w:rPr>
        <w:t>工程管理（专升本）专业考试计划对应衔接表</w:t>
      </w:r>
    </w:p>
    <w:tbl>
      <w:tblPr>
        <w:tblStyle w:val="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745"/>
        <w:gridCol w:w="2370"/>
        <w:gridCol w:w="621"/>
        <w:gridCol w:w="659"/>
        <w:gridCol w:w="785"/>
        <w:gridCol w:w="2321"/>
        <w:gridCol w:w="631"/>
        <w:gridCol w:w="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30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旧计划课程</w:t>
            </w:r>
          </w:p>
        </w:tc>
        <w:tc>
          <w:tcPr>
            <w:tcW w:w="233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sz w:val="18"/>
                <w:szCs w:val="18"/>
              </w:rPr>
            </w:pPr>
            <w:r>
              <w:rPr>
                <w:rFonts w:hint="eastAsia" w:eastAsia="黑体" w:cs="黑体"/>
                <w:sz w:val="18"/>
                <w:szCs w:val="18"/>
              </w:rPr>
              <w:t>新计划课程</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r>
              <w:rPr>
                <w:rFonts w:hint="eastAsia"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0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工程管理（专升本），</w:t>
            </w:r>
            <w:r>
              <w:rPr>
                <w:rFonts w:eastAsia="黑体"/>
                <w:kern w:val="0"/>
                <w:sz w:val="18"/>
                <w:szCs w:val="18"/>
              </w:rPr>
              <w:t>Y</w:t>
            </w:r>
            <w:r>
              <w:rPr>
                <w:rFonts w:hint="eastAsia" w:eastAsia="黑体" w:cs="黑体"/>
                <w:kern w:val="0"/>
                <w:sz w:val="18"/>
                <w:szCs w:val="18"/>
              </w:rPr>
              <w:t>020279</w:t>
            </w:r>
          </w:p>
        </w:tc>
        <w:tc>
          <w:tcPr>
            <w:tcW w:w="233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lang w:val="zh-CN"/>
              </w:rPr>
            </w:pPr>
            <w:r>
              <w:rPr>
                <w:rFonts w:hint="eastAsia" w:eastAsia="黑体" w:cs="黑体"/>
                <w:kern w:val="0"/>
                <w:sz w:val="18"/>
                <w:szCs w:val="18"/>
              </w:rPr>
              <w:t>工程管理（专升本），</w:t>
            </w:r>
            <w:r>
              <w:rPr>
                <w:rFonts w:eastAsia="黑体"/>
                <w:kern w:val="0"/>
                <w:sz w:val="18"/>
                <w:szCs w:val="18"/>
              </w:rPr>
              <w:t>W</w:t>
            </w:r>
            <w:r>
              <w:rPr>
                <w:rFonts w:hint="eastAsia" w:eastAsia="黑体" w:cs="黑体"/>
                <w:kern w:val="0"/>
                <w:sz w:val="18"/>
                <w:szCs w:val="18"/>
              </w:rPr>
              <w:t>120103</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35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03708</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中国近现代史纲要</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03708</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中国近现代史纲要</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03709</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马克思主义基本原理概论</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03709</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马克思主义基本原理概论</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04184</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线性代数（经管类）</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10993</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工程数学（线性代数、概率论与数理统计）</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22"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cs="宋体"/>
                <w:sz w:val="18"/>
                <w:szCs w:val="18"/>
              </w:rPr>
            </w:pPr>
            <w:r>
              <w:rPr>
                <w:rFonts w:hint="eastAsia" w:cs="宋体"/>
                <w:sz w:val="18"/>
                <w:szCs w:val="18"/>
              </w:rPr>
              <w:t>4</w:t>
            </w:r>
          </w:p>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06087</w:t>
            </w:r>
          </w:p>
        </w:tc>
        <w:tc>
          <w:tcPr>
            <w:tcW w:w="1259"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工程项目管理</w:t>
            </w:r>
          </w:p>
        </w:tc>
        <w:tc>
          <w:tcPr>
            <w:tcW w:w="32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0"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13648</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2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0"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13649</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工程项目管理（实践）</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06962</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工程造价确定与控制</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10633</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工程造价管理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01850</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建筑施工技术</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04618</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工程施工</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00015</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英语（二）</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13683</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管理学原理（中级）</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2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00067</w:t>
            </w:r>
          </w:p>
        </w:tc>
        <w:tc>
          <w:tcPr>
            <w:tcW w:w="1259"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财务管理学</w:t>
            </w:r>
          </w:p>
        </w:tc>
        <w:tc>
          <w:tcPr>
            <w:tcW w:w="32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0"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02382</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管理信息系统</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2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0"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02383</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管理信息系统（实践）</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06086</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工程监理</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06393</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color w:val="000000"/>
                <w:kern w:val="0"/>
                <w:sz w:val="18"/>
                <w:szCs w:val="18"/>
                <w:lang w:bidi="ar"/>
              </w:rPr>
              <w:t>土木工程概论</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06289</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工程招标与合同管理</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13634</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工程合同管理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08263</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工程经济学与项目融资</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04156</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color w:val="000000"/>
                <w:kern w:val="0"/>
                <w:sz w:val="18"/>
                <w:szCs w:val="18"/>
                <w:lang w:bidi="ar"/>
              </w:rPr>
              <w:t>建筑工程经济</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08262</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房地产开发与经营</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01854</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工程质量管理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04183</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概率论与数理统计（经管类）</w:t>
            </w: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06396</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color w:val="000000"/>
                <w:kern w:val="0"/>
                <w:sz w:val="18"/>
                <w:szCs w:val="18"/>
                <w:lang w:bidi="ar"/>
              </w:rPr>
              <w:t>国际工程承包与管理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06939</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color w:val="000000"/>
                <w:kern w:val="0"/>
                <w:sz w:val="18"/>
                <w:szCs w:val="18"/>
                <w:lang w:bidi="ar"/>
              </w:rPr>
              <w:t>建筑法规</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2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0"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15</w:t>
            </w:r>
          </w:p>
        </w:tc>
        <w:tc>
          <w:tcPr>
            <w:tcW w:w="41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13620</w:t>
            </w:r>
          </w:p>
        </w:tc>
        <w:tc>
          <w:tcPr>
            <w:tcW w:w="123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color w:val="000000"/>
                <w:kern w:val="0"/>
                <w:sz w:val="18"/>
                <w:szCs w:val="18"/>
                <w:lang w:bidi="ar"/>
              </w:rPr>
              <w:t>工程安全管理与环境保护</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5000" w:type="pct"/>
            <w:gridSpan w:val="9"/>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eastAsia="楷体_GB2312" w:cs="楷体_GB2312"/>
                <w:sz w:val="18"/>
                <w:szCs w:val="18"/>
              </w:rPr>
            </w:pPr>
            <w:r>
              <w:rPr>
                <w:rFonts w:hint="eastAsia" w:eastAsia="楷体_GB2312" w:cs="楷体_GB2312"/>
                <w:sz w:val="18"/>
                <w:szCs w:val="18"/>
              </w:rPr>
              <w:t>说明：</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3.对应顶替区课程，同一行1门课程顶替1门课程，不能顶替其他课程。</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4.选择顶替区课程，旧计划任选1门课程顶替新计划任意1门课程。</w:t>
            </w:r>
          </w:p>
        </w:tc>
      </w:tr>
    </w:tbl>
    <w:p>
      <w:pPr>
        <w:pBdr>
          <w:top w:val="none" w:color="auto" w:sz="0" w:space="1"/>
          <w:left w:val="none" w:color="auto" w:sz="0" w:space="4"/>
          <w:bottom w:val="none" w:color="auto" w:sz="0" w:space="1"/>
          <w:right w:val="none" w:color="auto" w:sz="0" w:space="4"/>
        </w:pBdr>
      </w:pPr>
    </w:p>
    <w:p>
      <w:pPr>
        <w:pBdr>
          <w:top w:val="none" w:color="auto" w:sz="0" w:space="1"/>
          <w:left w:val="none" w:color="auto" w:sz="0" w:space="4"/>
          <w:bottom w:val="none" w:color="auto" w:sz="0" w:space="1"/>
          <w:right w:val="none" w:color="auto" w:sz="0" w:space="4"/>
        </w:pBdr>
        <w:spacing w:line="600" w:lineRule="exact"/>
        <w:jc w:val="center"/>
        <w:rPr>
          <w:rFonts w:cs="宋体"/>
          <w:b/>
          <w:bCs/>
          <w:kern w:val="0"/>
          <w:sz w:val="36"/>
          <w:szCs w:val="36"/>
        </w:rPr>
        <w:sectPr>
          <w:pgSz w:w="11906" w:h="16157"/>
          <w:pgMar w:top="1247" w:right="1287" w:bottom="1134" w:left="1417" w:header="851" w:footer="992" w:gutter="0"/>
          <w:cols w:space="425" w:num="1"/>
          <w:docGrid w:type="lines" w:linePitch="312" w:charSpace="0"/>
        </w:sectPr>
      </w:pPr>
    </w:p>
    <w:p>
      <w:pPr>
        <w:pStyle w:val="2"/>
      </w:pPr>
      <w:r>
        <w:rPr>
          <w:rFonts w:hint="eastAsia"/>
        </w:rPr>
        <w:t>工程管理（专升本）专业考试计划对应衔接表</w:t>
      </w:r>
    </w:p>
    <w:tbl>
      <w:tblPr>
        <w:tblStyle w:val="7"/>
        <w:tblW w:w="95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8"/>
        <w:gridCol w:w="759"/>
        <w:gridCol w:w="2409"/>
        <w:gridCol w:w="628"/>
        <w:gridCol w:w="672"/>
        <w:gridCol w:w="788"/>
        <w:gridCol w:w="2372"/>
        <w:gridCol w:w="635"/>
        <w:gridCol w:w="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414" w:type="dxa"/>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旧计划课程</w:t>
            </w:r>
          </w:p>
        </w:tc>
        <w:tc>
          <w:tcPr>
            <w:tcW w:w="4467" w:type="dxa"/>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sz w:val="18"/>
                <w:szCs w:val="18"/>
              </w:rPr>
            </w:pPr>
            <w:r>
              <w:rPr>
                <w:rFonts w:hint="eastAsia" w:eastAsia="黑体" w:cs="黑体"/>
                <w:sz w:val="18"/>
                <w:szCs w:val="18"/>
              </w:rPr>
              <w:t>新计划课程</w:t>
            </w:r>
          </w:p>
        </w:tc>
        <w:tc>
          <w:tcPr>
            <w:tcW w:w="67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r>
              <w:rPr>
                <w:rFonts w:hint="eastAsia"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414" w:type="dxa"/>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建筑经济管理（专升本），</w:t>
            </w:r>
            <w:r>
              <w:rPr>
                <w:rFonts w:eastAsia="黑体"/>
                <w:kern w:val="0"/>
                <w:sz w:val="18"/>
                <w:szCs w:val="18"/>
              </w:rPr>
              <w:t>Y</w:t>
            </w:r>
            <w:r>
              <w:rPr>
                <w:rFonts w:hint="eastAsia" w:eastAsia="黑体" w:cs="黑体"/>
                <w:kern w:val="0"/>
                <w:sz w:val="18"/>
                <w:szCs w:val="18"/>
              </w:rPr>
              <w:t>020221</w:t>
            </w:r>
          </w:p>
        </w:tc>
        <w:tc>
          <w:tcPr>
            <w:tcW w:w="4467" w:type="dxa"/>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lang w:val="zh-CN"/>
              </w:rPr>
            </w:pPr>
            <w:r>
              <w:rPr>
                <w:rFonts w:hint="eastAsia" w:eastAsia="黑体" w:cs="黑体"/>
                <w:kern w:val="0"/>
                <w:sz w:val="18"/>
                <w:szCs w:val="18"/>
              </w:rPr>
              <w:t>工程管理（专升本），</w:t>
            </w:r>
            <w:r>
              <w:rPr>
                <w:rFonts w:eastAsia="黑体"/>
                <w:kern w:val="0"/>
                <w:sz w:val="18"/>
                <w:szCs w:val="18"/>
              </w:rPr>
              <w:t>W</w:t>
            </w:r>
            <w:r>
              <w:rPr>
                <w:rFonts w:hint="eastAsia" w:eastAsia="黑体" w:cs="黑体"/>
                <w:kern w:val="0"/>
                <w:sz w:val="18"/>
                <w:szCs w:val="18"/>
              </w:rPr>
              <w:t>120103</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67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03708</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中国近现代史纲要</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03708</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中国近现代史纲要</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67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03709</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马克思主义基本原理概论</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03709</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马克思主义基本原理概论</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00015</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英语（二）</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06939</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建筑法规</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02657</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建筑工程技术经济学</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10993</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工程数学（线性代数、概率论与数理统计）</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02655</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建筑施工（二）</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04618</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工程施工</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01564</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工程建设监理概论</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06393</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土木工程概论</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cs="宋体"/>
                <w:sz w:val="18"/>
                <w:szCs w:val="18"/>
              </w:rPr>
            </w:pPr>
            <w:r>
              <w:rPr>
                <w:rFonts w:hint="eastAsia" w:cs="宋体"/>
                <w:sz w:val="18"/>
                <w:szCs w:val="18"/>
              </w:rPr>
              <w:t>7</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02204</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经济管理</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13683</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管理学原理（中级）</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02460</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工程质量与进度控制</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13634</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工程合同管理</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5</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759"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02447</w:t>
            </w:r>
          </w:p>
        </w:tc>
        <w:tc>
          <w:tcPr>
            <w:tcW w:w="2409"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建筑经济与企业管理</w:t>
            </w:r>
          </w:p>
        </w:tc>
        <w:tc>
          <w:tcPr>
            <w:tcW w:w="62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02382</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管理信息系统</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4</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color w:val="0000FF"/>
                <w:sz w:val="18"/>
                <w:szCs w:val="18"/>
              </w:rPr>
            </w:pPr>
          </w:p>
        </w:tc>
        <w:tc>
          <w:tcPr>
            <w:tcW w:w="759"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color w:val="0000FF"/>
                <w:sz w:val="18"/>
                <w:szCs w:val="18"/>
              </w:rPr>
            </w:pPr>
          </w:p>
        </w:tc>
        <w:tc>
          <w:tcPr>
            <w:tcW w:w="2409"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FF"/>
                <w:kern w:val="0"/>
                <w:sz w:val="18"/>
                <w:szCs w:val="18"/>
                <w:lang w:bidi="ar"/>
              </w:rPr>
            </w:pPr>
          </w:p>
        </w:tc>
        <w:tc>
          <w:tcPr>
            <w:tcW w:w="62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color w:val="0000FF"/>
                <w:sz w:val="18"/>
                <w:szCs w:val="18"/>
              </w:rPr>
            </w:pPr>
          </w:p>
        </w:tc>
        <w:tc>
          <w:tcPr>
            <w:tcW w:w="672"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02383</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管理信息系统（实践）</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759"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02658</w:t>
            </w:r>
          </w:p>
        </w:tc>
        <w:tc>
          <w:tcPr>
            <w:tcW w:w="2409"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建筑工程项目管理</w:t>
            </w:r>
          </w:p>
        </w:tc>
        <w:tc>
          <w:tcPr>
            <w:tcW w:w="62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672"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13648</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759"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2409"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62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672"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13649</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工程项目管理（实践）</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02197</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概率论与数理统计（二）</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13620</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工程安全管理与环境保护</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8" w:type="dxa"/>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00043</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经济法概论（财经类）</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06396</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国际工程承包与管理</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02275</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计算机基础与程序设计</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04156</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建筑工程经济</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02631</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计算机辅助管理</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10633</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工程造价管理</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15</w:t>
            </w:r>
          </w:p>
        </w:tc>
        <w:tc>
          <w:tcPr>
            <w:tcW w:w="75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02627</w:t>
            </w:r>
          </w:p>
        </w:tc>
        <w:tc>
          <w:tcPr>
            <w:tcW w:w="2409"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运筹学与系统分析</w:t>
            </w:r>
          </w:p>
        </w:tc>
        <w:tc>
          <w:tcPr>
            <w:tcW w:w="62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15</w:t>
            </w:r>
          </w:p>
        </w:tc>
        <w:tc>
          <w:tcPr>
            <w:tcW w:w="788"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01854</w:t>
            </w:r>
          </w:p>
        </w:tc>
        <w:tc>
          <w:tcPr>
            <w:tcW w:w="2372"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工程质量管理</w:t>
            </w:r>
          </w:p>
        </w:tc>
        <w:tc>
          <w:tcPr>
            <w:tcW w:w="635" w:type="dxa"/>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678" w:type="dxa"/>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9559" w:type="dxa"/>
            <w:gridSpan w:val="9"/>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eastAsia="楷体_GB2312" w:cs="楷体_GB2312"/>
                <w:sz w:val="18"/>
                <w:szCs w:val="18"/>
              </w:rPr>
            </w:pPr>
            <w:r>
              <w:rPr>
                <w:rFonts w:hint="eastAsia" w:eastAsia="楷体_GB2312" w:cs="楷体_GB2312"/>
                <w:sz w:val="18"/>
                <w:szCs w:val="18"/>
              </w:rPr>
              <w:t>说明：</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3.对应顶替区课程，同一行1门课程顶替1门课程，不能顶替其他课程。</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4.选择顶替区课程，旧计划任选1门课程顶替新计划任意1门课程。</w:t>
            </w:r>
          </w:p>
        </w:tc>
      </w:tr>
    </w:tbl>
    <w:p>
      <w:pPr>
        <w:pBdr>
          <w:top w:val="none" w:color="auto" w:sz="0" w:space="1"/>
          <w:left w:val="none" w:color="auto" w:sz="0" w:space="4"/>
          <w:bottom w:val="none" w:color="auto" w:sz="0" w:space="1"/>
          <w:right w:val="none" w:color="auto" w:sz="0" w:space="4"/>
        </w:pBdr>
      </w:pPr>
    </w:p>
    <w:p>
      <w:pPr>
        <w:pBdr>
          <w:top w:val="none" w:color="auto" w:sz="0" w:space="1"/>
          <w:left w:val="none" w:color="auto" w:sz="0" w:space="4"/>
          <w:bottom w:val="none" w:color="auto" w:sz="0" w:space="1"/>
          <w:right w:val="none" w:color="auto" w:sz="0" w:space="4"/>
        </w:pBdr>
      </w:pPr>
    </w:p>
    <w:p>
      <w:pPr>
        <w:pBdr>
          <w:top w:val="none" w:color="auto" w:sz="0" w:space="1"/>
          <w:left w:val="none" w:color="auto" w:sz="0" w:space="4"/>
          <w:bottom w:val="none" w:color="auto" w:sz="0" w:space="1"/>
          <w:right w:val="none" w:color="auto" w:sz="0" w:space="4"/>
        </w:pBdr>
      </w:pPr>
    </w:p>
    <w:p>
      <w:pPr>
        <w:pStyle w:val="2"/>
      </w:pPr>
      <w:r>
        <w:rPr>
          <w:rFonts w:hint="eastAsia"/>
        </w:rPr>
        <w:t>工程管理（专升本）专业考试计划对应衔接表</w:t>
      </w:r>
    </w:p>
    <w:tbl>
      <w:tblPr>
        <w:tblStyle w:val="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64"/>
        <w:gridCol w:w="2428"/>
        <w:gridCol w:w="638"/>
        <w:gridCol w:w="677"/>
        <w:gridCol w:w="764"/>
        <w:gridCol w:w="2417"/>
        <w:gridCol w:w="646"/>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0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旧计划课程</w:t>
            </w:r>
          </w:p>
        </w:tc>
        <w:tc>
          <w:tcPr>
            <w:tcW w:w="233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sz w:val="18"/>
                <w:szCs w:val="18"/>
              </w:rPr>
            </w:pPr>
            <w:r>
              <w:rPr>
                <w:rFonts w:hint="eastAsia" w:eastAsia="黑体" w:cs="黑体"/>
                <w:sz w:val="18"/>
                <w:szCs w:val="18"/>
              </w:rPr>
              <w:t>新计划课程</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r>
              <w:rPr>
                <w:rFonts w:hint="eastAsia"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0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项目管理（专升本），</w:t>
            </w:r>
            <w:r>
              <w:rPr>
                <w:rFonts w:eastAsia="黑体"/>
                <w:kern w:val="0"/>
                <w:sz w:val="18"/>
                <w:szCs w:val="18"/>
              </w:rPr>
              <w:t>Y</w:t>
            </w:r>
            <w:r>
              <w:rPr>
                <w:rFonts w:hint="eastAsia" w:eastAsia="黑体" w:cs="黑体"/>
                <w:kern w:val="0"/>
                <w:sz w:val="18"/>
                <w:szCs w:val="18"/>
              </w:rPr>
              <w:t>020256</w:t>
            </w:r>
          </w:p>
        </w:tc>
        <w:tc>
          <w:tcPr>
            <w:tcW w:w="233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lang w:val="zh-CN"/>
              </w:rPr>
            </w:pPr>
            <w:r>
              <w:rPr>
                <w:rFonts w:hint="eastAsia" w:eastAsia="黑体" w:cs="黑体"/>
                <w:kern w:val="0"/>
                <w:sz w:val="18"/>
                <w:szCs w:val="18"/>
              </w:rPr>
              <w:t>工程管理（专升本），</w:t>
            </w:r>
            <w:r>
              <w:rPr>
                <w:rFonts w:eastAsia="黑体"/>
                <w:kern w:val="0"/>
                <w:sz w:val="18"/>
                <w:szCs w:val="18"/>
              </w:rPr>
              <w:t>W</w:t>
            </w:r>
            <w:r>
              <w:rPr>
                <w:rFonts w:hint="eastAsia" w:eastAsia="黑体" w:cs="黑体"/>
                <w:kern w:val="0"/>
                <w:sz w:val="18"/>
                <w:szCs w:val="18"/>
              </w:rPr>
              <w:t>120103</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35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03708</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中国近现代史纲要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03708</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中国近现代史纲要</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03709</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马克思主义基本原理概论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03709</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马克思主义基本原理概论</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00015</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英语（二）</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10993</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工程数学（线性代数、概率论与数理统计）</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05059</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项目管理学</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13683</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管理学原理（中级）</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05060</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项目范围管理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06939</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建筑法规</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07171</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项目管理软件</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02382</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管理信息系统</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03810</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项目管理软件（实践）</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02383</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管理信息系统（实践）</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05061</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项目成本管理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06393</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土木工程概论</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39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05067</w:t>
            </w:r>
          </w:p>
        </w:tc>
        <w:tc>
          <w:tcPr>
            <w:tcW w:w="1259"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项目管理案例分析</w:t>
            </w:r>
          </w:p>
        </w:tc>
        <w:tc>
          <w:tcPr>
            <w:tcW w:w="329"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8</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13648</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9"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13649</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工程项目管理（实践）</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05062</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项目质量管理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9</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01854</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工程质量管理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11880</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项目组织与团队管理</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7</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13634</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color w:val="000000"/>
                <w:kern w:val="0"/>
                <w:sz w:val="18"/>
                <w:szCs w:val="18"/>
                <w:lang w:bidi="ar"/>
              </w:rPr>
            </w:pPr>
            <w:r>
              <w:rPr>
                <w:rFonts w:hint="eastAsia" w:cs="宋体"/>
                <w:sz w:val="18"/>
                <w:szCs w:val="18"/>
              </w:rPr>
              <w:t>工程合同管理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02628</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管理经济学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04156</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建筑工程经济</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03807</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项目论证与评估（实践）</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2</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04618</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工程施工</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5</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05063</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项目时间管理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06396</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国际工程承包与管理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05064</w:t>
            </w: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项目风险管理　</w:t>
            </w: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14</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10633</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工程造价管理</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6</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2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125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c>
          <w:tcPr>
            <w:tcW w:w="329"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p>
        </w:tc>
        <w:tc>
          <w:tcPr>
            <w:tcW w:w="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15</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13620</w:t>
            </w:r>
          </w:p>
        </w:tc>
        <w:tc>
          <w:tcPr>
            <w:tcW w:w="125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r>
              <w:rPr>
                <w:rFonts w:hint="eastAsia" w:cs="宋体"/>
                <w:sz w:val="18"/>
                <w:szCs w:val="18"/>
              </w:rPr>
              <w:t>工程安全管理与环境保护</w:t>
            </w:r>
          </w:p>
        </w:tc>
        <w:tc>
          <w:tcPr>
            <w:tcW w:w="33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sz w:val="18"/>
                <w:szCs w:val="18"/>
              </w:rPr>
            </w:pPr>
            <w:r>
              <w:rPr>
                <w:rFonts w:hint="eastAsia" w:cs="宋体"/>
                <w:sz w:val="18"/>
                <w:szCs w:val="18"/>
              </w:rPr>
              <w:t>4</w:t>
            </w:r>
          </w:p>
        </w:tc>
        <w:tc>
          <w:tcPr>
            <w:tcW w:w="35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00" w:type="pct"/>
            <w:gridSpan w:val="9"/>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textAlignment w:val="center"/>
              <w:rPr>
                <w:rFonts w:eastAsia="楷体_GB2312" w:cs="楷体_GB2312"/>
                <w:sz w:val="18"/>
                <w:szCs w:val="18"/>
              </w:rPr>
            </w:pPr>
            <w:r>
              <w:rPr>
                <w:rFonts w:hint="eastAsia" w:eastAsia="楷体_GB2312" w:cs="楷体_GB2312"/>
                <w:sz w:val="18"/>
                <w:szCs w:val="18"/>
              </w:rPr>
              <w:t>说明：</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3.对应顶替区课程，同一行1门课程顶替1门课程，不能顶替其他课程。</w:t>
            </w:r>
          </w:p>
          <w:p>
            <w:pPr>
              <w:widowControl/>
              <w:pBdr>
                <w:top w:val="none" w:color="auto" w:sz="0" w:space="1"/>
                <w:left w:val="none" w:color="auto" w:sz="0" w:space="4"/>
                <w:bottom w:val="none" w:color="auto" w:sz="0" w:space="1"/>
                <w:right w:val="none" w:color="auto" w:sz="0" w:space="4"/>
              </w:pBdr>
              <w:ind w:firstLine="360" w:firstLineChars="200"/>
              <w:jc w:val="left"/>
              <w:textAlignment w:val="center"/>
              <w:rPr>
                <w:rFonts w:eastAsia="楷体_GB2312" w:cs="楷体_GB2312"/>
                <w:sz w:val="18"/>
                <w:szCs w:val="18"/>
              </w:rPr>
            </w:pPr>
            <w:r>
              <w:rPr>
                <w:rFonts w:hint="eastAsia" w:eastAsia="楷体_GB2312" w:cs="楷体_GB2312"/>
                <w:sz w:val="18"/>
                <w:szCs w:val="18"/>
              </w:rPr>
              <w:t>4.选择顶替区课程，旧计划任选1门课程顶替新计划任意1门课程。</w:t>
            </w:r>
          </w:p>
        </w:tc>
      </w:tr>
    </w:tbl>
    <w:p/>
    <w:p/>
    <w:p/>
    <w:p/>
    <w:p>
      <w:pPr>
        <w:spacing w:line="500" w:lineRule="exact"/>
        <w:jc w:val="center"/>
        <w:rPr>
          <w:rFonts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工程管理（专升本）专业考试计划对应衔接表</w:t>
      </w:r>
    </w:p>
    <w:tbl>
      <w:tblPr>
        <w:tblStyle w:val="7"/>
        <w:tblW w:w="499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755"/>
        <w:gridCol w:w="2418"/>
        <w:gridCol w:w="651"/>
        <w:gridCol w:w="669"/>
        <w:gridCol w:w="798"/>
        <w:gridCol w:w="2372"/>
        <w:gridCol w:w="659"/>
        <w:gridCol w:w="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01" w:type="pct"/>
            <w:gridSpan w:val="4"/>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旧计划课程</w:t>
            </w:r>
          </w:p>
        </w:tc>
        <w:tc>
          <w:tcPr>
            <w:tcW w:w="2334" w:type="pct"/>
            <w:gridSpan w:val="4"/>
            <w:tcBorders>
              <w:tl2br w:val="nil"/>
              <w:tr2bl w:val="nil"/>
            </w:tcBorders>
            <w:vAlign w:val="center"/>
          </w:tcPr>
          <w:p>
            <w:pPr>
              <w:widowControl/>
              <w:spacing w:line="300" w:lineRule="exact"/>
              <w:jc w:val="center"/>
              <w:rPr>
                <w:rFonts w:ascii="黑体" w:hAnsi="黑体" w:eastAsia="黑体" w:cs="黑体"/>
                <w:sz w:val="18"/>
                <w:szCs w:val="18"/>
              </w:rPr>
            </w:pPr>
            <w:r>
              <w:rPr>
                <w:rFonts w:hint="eastAsia" w:ascii="黑体" w:hAnsi="黑体" w:eastAsia="黑体" w:cs="黑体"/>
                <w:sz w:val="18"/>
                <w:szCs w:val="18"/>
              </w:rPr>
              <w:t>新计划课程</w:t>
            </w:r>
          </w:p>
        </w:tc>
        <w:tc>
          <w:tcPr>
            <w:tcW w:w="364" w:type="pct"/>
            <w:vMerge w:val="restart"/>
            <w:tcBorders>
              <w:tl2br w:val="nil"/>
              <w:tr2bl w:val="nil"/>
            </w:tcBorders>
            <w:vAlign w:val="center"/>
          </w:tcPr>
          <w:p>
            <w:pPr>
              <w:widowControl/>
              <w:spacing w:line="300" w:lineRule="exact"/>
              <w:jc w:val="center"/>
              <w:rPr>
                <w:rFonts w:eastAsia="方正黑体_GBK"/>
                <w:sz w:val="18"/>
                <w:szCs w:val="18"/>
              </w:rPr>
            </w:pPr>
            <w:r>
              <w:rPr>
                <w:rFonts w:hint="eastAsia" w:ascii="黑体" w:hAnsi="黑体"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01" w:type="pct"/>
            <w:gridSpan w:val="4"/>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工程管理（专升本），</w:t>
            </w:r>
            <w:r>
              <w:rPr>
                <w:rFonts w:eastAsia="黑体"/>
                <w:kern w:val="0"/>
                <w:sz w:val="18"/>
                <w:szCs w:val="18"/>
              </w:rPr>
              <w:t>B020279</w:t>
            </w:r>
          </w:p>
        </w:tc>
        <w:tc>
          <w:tcPr>
            <w:tcW w:w="2334" w:type="pct"/>
            <w:gridSpan w:val="4"/>
            <w:tcBorders>
              <w:tl2br w:val="nil"/>
              <w:tr2bl w:val="nil"/>
            </w:tcBorders>
            <w:vAlign w:val="center"/>
          </w:tcPr>
          <w:p>
            <w:pPr>
              <w:widowControl/>
              <w:spacing w:line="300" w:lineRule="exact"/>
              <w:jc w:val="center"/>
              <w:rPr>
                <w:rFonts w:ascii="黑体" w:hAnsi="黑体" w:eastAsia="黑体" w:cs="黑体"/>
                <w:kern w:val="0"/>
                <w:sz w:val="18"/>
                <w:szCs w:val="18"/>
                <w:lang w:val="zh-CN"/>
              </w:rPr>
            </w:pPr>
            <w:r>
              <w:rPr>
                <w:rFonts w:hint="eastAsia" w:ascii="黑体" w:hAnsi="黑体" w:eastAsia="黑体" w:cs="黑体"/>
                <w:kern w:val="0"/>
                <w:sz w:val="18"/>
                <w:szCs w:val="18"/>
              </w:rPr>
              <w:t>工程管理（专升本），</w:t>
            </w:r>
            <w:r>
              <w:rPr>
                <w:rFonts w:eastAsia="黑体"/>
                <w:kern w:val="0"/>
                <w:sz w:val="18"/>
                <w:szCs w:val="18"/>
              </w:rPr>
              <w:t>H120103</w:t>
            </w:r>
          </w:p>
        </w:tc>
        <w:tc>
          <w:tcPr>
            <w:tcW w:w="364" w:type="pct"/>
            <w:vMerge w:val="continue"/>
            <w:tcBorders>
              <w:tl2br w:val="nil"/>
              <w:tr2bl w:val="nil"/>
            </w:tcBorders>
            <w:vAlign w:val="center"/>
          </w:tcPr>
          <w:p>
            <w:pPr>
              <w:widowControl/>
              <w:spacing w:line="300" w:lineRule="exact"/>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392"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课码</w:t>
            </w:r>
          </w:p>
        </w:tc>
        <w:tc>
          <w:tcPr>
            <w:tcW w:w="1255"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课程名称</w:t>
            </w:r>
          </w:p>
        </w:tc>
        <w:tc>
          <w:tcPr>
            <w:tcW w:w="336"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学分</w:t>
            </w:r>
          </w:p>
        </w:tc>
        <w:tc>
          <w:tcPr>
            <w:tcW w:w="347"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414"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课码</w:t>
            </w:r>
          </w:p>
        </w:tc>
        <w:tc>
          <w:tcPr>
            <w:tcW w:w="1231"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课程名称</w:t>
            </w:r>
          </w:p>
        </w:tc>
        <w:tc>
          <w:tcPr>
            <w:tcW w:w="340"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学分</w:t>
            </w:r>
          </w:p>
        </w:tc>
        <w:tc>
          <w:tcPr>
            <w:tcW w:w="364" w:type="pct"/>
            <w:tcBorders>
              <w:tl2br w:val="nil"/>
              <w:tr2bl w:val="nil"/>
            </w:tcBorders>
            <w:vAlign w:val="center"/>
          </w:tcPr>
          <w:p>
            <w:pPr>
              <w:widowControl/>
              <w:spacing w:line="300" w:lineRule="exact"/>
              <w:jc w:val="center"/>
              <w:rPr>
                <w:rFonts w:ascii="黑体" w:hAnsi="黑体"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03708</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中国近现代史纲要</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03708</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中国近现代史纲要</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2</w:t>
            </w:r>
          </w:p>
        </w:tc>
        <w:tc>
          <w:tcPr>
            <w:tcW w:w="364" w:type="pct"/>
            <w:vMerge w:val="restart"/>
            <w:tcBorders>
              <w:tl2br w:val="nil"/>
              <w:tr2bl w:val="nil"/>
            </w:tcBorders>
            <w:vAlign w:val="center"/>
          </w:tcPr>
          <w:p>
            <w:pPr>
              <w:widowControl/>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03709</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马克思主义基本原理概论</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03709</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马克思主义基本原理概论</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16"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92"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00015</w:t>
            </w:r>
          </w:p>
        </w:tc>
        <w:tc>
          <w:tcPr>
            <w:tcW w:w="1255" w:type="pct"/>
            <w:vMerge w:val="restar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英语（二）</w:t>
            </w:r>
          </w:p>
        </w:tc>
        <w:tc>
          <w:tcPr>
            <w:tcW w:w="336"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14</w:t>
            </w:r>
          </w:p>
        </w:tc>
        <w:tc>
          <w:tcPr>
            <w:tcW w:w="347"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02382</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管理信息系统</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6" w:type="pct"/>
            <w:vMerge w:val="continue"/>
            <w:tcBorders>
              <w:tl2br w:val="nil"/>
              <w:tr2bl w:val="nil"/>
            </w:tcBorders>
            <w:vAlign w:val="center"/>
          </w:tcPr>
          <w:p>
            <w:pPr>
              <w:widowControl/>
              <w:jc w:val="center"/>
              <w:textAlignment w:val="center"/>
              <w:rPr>
                <w:rFonts w:ascii="宋体" w:hAnsi="宋体" w:cs="宋体"/>
                <w:sz w:val="18"/>
                <w:szCs w:val="18"/>
              </w:rPr>
            </w:pPr>
          </w:p>
        </w:tc>
        <w:tc>
          <w:tcPr>
            <w:tcW w:w="392" w:type="pct"/>
            <w:vMerge w:val="continue"/>
            <w:tcBorders>
              <w:tl2br w:val="nil"/>
              <w:tr2bl w:val="nil"/>
            </w:tcBorders>
            <w:vAlign w:val="center"/>
          </w:tcPr>
          <w:p>
            <w:pPr>
              <w:widowControl/>
              <w:jc w:val="center"/>
              <w:textAlignment w:val="center"/>
              <w:rPr>
                <w:rFonts w:ascii="宋体" w:hAnsi="宋体" w:cs="宋体"/>
                <w:sz w:val="18"/>
                <w:szCs w:val="18"/>
              </w:rPr>
            </w:pPr>
          </w:p>
        </w:tc>
        <w:tc>
          <w:tcPr>
            <w:tcW w:w="1255" w:type="pct"/>
            <w:vMerge w:val="continue"/>
            <w:tcBorders>
              <w:tl2br w:val="nil"/>
              <w:tr2bl w:val="nil"/>
            </w:tcBorders>
            <w:vAlign w:val="center"/>
          </w:tcPr>
          <w:p>
            <w:pPr>
              <w:widowControl/>
              <w:jc w:val="left"/>
              <w:textAlignment w:val="center"/>
              <w:rPr>
                <w:rFonts w:ascii="宋体" w:hAnsi="宋体" w:cs="宋体"/>
                <w:sz w:val="18"/>
                <w:szCs w:val="18"/>
              </w:rPr>
            </w:pPr>
          </w:p>
        </w:tc>
        <w:tc>
          <w:tcPr>
            <w:tcW w:w="336" w:type="pct"/>
            <w:vMerge w:val="continue"/>
            <w:tcBorders>
              <w:tl2br w:val="nil"/>
              <w:tr2bl w:val="nil"/>
            </w:tcBorders>
            <w:vAlign w:val="center"/>
          </w:tcPr>
          <w:p>
            <w:pPr>
              <w:widowControl/>
              <w:jc w:val="center"/>
              <w:textAlignment w:val="center"/>
              <w:rPr>
                <w:rFonts w:ascii="宋体" w:hAnsi="宋体" w:cs="宋体"/>
                <w:sz w:val="18"/>
                <w:szCs w:val="18"/>
              </w:rPr>
            </w:pPr>
          </w:p>
        </w:tc>
        <w:tc>
          <w:tcPr>
            <w:tcW w:w="347" w:type="pct"/>
            <w:vMerge w:val="continue"/>
            <w:tcBorders>
              <w:tl2br w:val="nil"/>
              <w:tr2bl w:val="nil"/>
            </w:tcBorders>
            <w:vAlign w:val="center"/>
          </w:tcPr>
          <w:p>
            <w:pPr>
              <w:widowControl/>
              <w:jc w:val="center"/>
              <w:textAlignment w:val="center"/>
              <w:rPr>
                <w:rFonts w:ascii="宋体" w:hAnsi="宋体" w:cs="宋体"/>
                <w:sz w:val="18"/>
                <w:szCs w:val="18"/>
              </w:rPr>
            </w:pP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02383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管理信息系统（实践）</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1</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04183</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概率论与数理统计（经管类）</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04156</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建筑工程经济</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04184</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线性代数（经管类）</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10993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工程数学（线性代数、概率论与数理统计）</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6</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00067</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财务管理学</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6</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6</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13683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管理学原理（中级）</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7</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06289</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工程招标与合同管理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7</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13634</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工程合同管理</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6"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8</w:t>
            </w:r>
          </w:p>
        </w:tc>
        <w:tc>
          <w:tcPr>
            <w:tcW w:w="392"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06087</w:t>
            </w:r>
          </w:p>
        </w:tc>
        <w:tc>
          <w:tcPr>
            <w:tcW w:w="1255" w:type="pct"/>
            <w:vMerge w:val="restar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工程项目管理</w:t>
            </w:r>
          </w:p>
        </w:tc>
        <w:tc>
          <w:tcPr>
            <w:tcW w:w="336"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47"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8</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13648</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工程项目管理</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6" w:type="pct"/>
            <w:vMerge w:val="continue"/>
            <w:tcBorders>
              <w:tl2br w:val="nil"/>
              <w:tr2bl w:val="nil"/>
            </w:tcBorders>
            <w:vAlign w:val="center"/>
          </w:tcPr>
          <w:p>
            <w:pPr>
              <w:widowControl/>
              <w:jc w:val="center"/>
              <w:textAlignment w:val="center"/>
              <w:rPr>
                <w:rFonts w:ascii="宋体" w:hAnsi="宋体" w:cs="宋体"/>
                <w:sz w:val="18"/>
                <w:szCs w:val="18"/>
              </w:rPr>
            </w:pPr>
          </w:p>
        </w:tc>
        <w:tc>
          <w:tcPr>
            <w:tcW w:w="392" w:type="pct"/>
            <w:vMerge w:val="continue"/>
            <w:tcBorders>
              <w:tl2br w:val="nil"/>
              <w:tr2bl w:val="nil"/>
            </w:tcBorders>
            <w:vAlign w:val="center"/>
          </w:tcPr>
          <w:p>
            <w:pPr>
              <w:widowControl/>
              <w:jc w:val="center"/>
              <w:textAlignment w:val="center"/>
              <w:rPr>
                <w:rFonts w:ascii="宋体" w:hAnsi="宋体" w:cs="宋体"/>
                <w:sz w:val="18"/>
                <w:szCs w:val="18"/>
              </w:rPr>
            </w:pPr>
          </w:p>
        </w:tc>
        <w:tc>
          <w:tcPr>
            <w:tcW w:w="1255" w:type="pct"/>
            <w:vMerge w:val="continue"/>
            <w:tcBorders>
              <w:tl2br w:val="nil"/>
              <w:tr2bl w:val="nil"/>
            </w:tcBorders>
            <w:vAlign w:val="center"/>
          </w:tcPr>
          <w:p>
            <w:pPr>
              <w:widowControl/>
              <w:jc w:val="left"/>
              <w:textAlignment w:val="center"/>
              <w:rPr>
                <w:rFonts w:ascii="宋体" w:hAnsi="宋体" w:cs="宋体"/>
                <w:sz w:val="18"/>
                <w:szCs w:val="18"/>
              </w:rPr>
            </w:pPr>
          </w:p>
        </w:tc>
        <w:tc>
          <w:tcPr>
            <w:tcW w:w="336" w:type="pct"/>
            <w:vMerge w:val="continue"/>
            <w:tcBorders>
              <w:tl2br w:val="nil"/>
              <w:tr2bl w:val="nil"/>
            </w:tcBorders>
            <w:vAlign w:val="center"/>
          </w:tcPr>
          <w:p>
            <w:pPr>
              <w:widowControl/>
              <w:jc w:val="center"/>
              <w:textAlignment w:val="center"/>
              <w:rPr>
                <w:rFonts w:ascii="宋体" w:hAnsi="宋体" w:cs="宋体"/>
                <w:sz w:val="18"/>
                <w:szCs w:val="18"/>
              </w:rPr>
            </w:pPr>
          </w:p>
        </w:tc>
        <w:tc>
          <w:tcPr>
            <w:tcW w:w="347" w:type="pct"/>
            <w:vMerge w:val="continue"/>
            <w:tcBorders>
              <w:tl2br w:val="nil"/>
              <w:tr2bl w:val="nil"/>
            </w:tcBorders>
            <w:vAlign w:val="center"/>
          </w:tcPr>
          <w:p>
            <w:pPr>
              <w:widowControl/>
              <w:jc w:val="center"/>
              <w:textAlignment w:val="center"/>
              <w:rPr>
                <w:rFonts w:ascii="宋体" w:hAnsi="宋体" w:cs="宋体"/>
                <w:sz w:val="18"/>
                <w:szCs w:val="18"/>
              </w:rPr>
            </w:pP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13649</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工程项目管理（实践）</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1</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9</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06962</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工程造价确定与控制</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8</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9</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10633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工程造价管理</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10</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08263</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工程经济学与项目融资</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10</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13620</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工程安全管理与环境保护</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11</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08262</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房地产开发与经营</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11</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01854</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工程质量管理</w:t>
            </w:r>
          </w:p>
        </w:tc>
        <w:tc>
          <w:tcPr>
            <w:tcW w:w="340"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12</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01850</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建筑施工技术</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12</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06396</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国际工程承包与管理</w:t>
            </w:r>
          </w:p>
        </w:tc>
        <w:tc>
          <w:tcPr>
            <w:tcW w:w="340"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64" w:type="pct"/>
            <w:vMerge w:val="restart"/>
            <w:tcBorders>
              <w:tl2br w:val="nil"/>
              <w:tr2bl w:val="nil"/>
            </w:tcBorders>
            <w:vAlign w:val="center"/>
          </w:tcPr>
          <w:p>
            <w:pPr>
              <w:widowControl/>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r>
              <w:rPr>
                <w:sz w:val="18"/>
                <w:szCs w:val="18"/>
              </w:rPr>
              <w:t>13</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06086</w:t>
            </w:r>
          </w:p>
        </w:tc>
        <w:tc>
          <w:tcPr>
            <w:tcW w:w="1255"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工程监理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13</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04618</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工程施工</w:t>
            </w:r>
          </w:p>
        </w:tc>
        <w:tc>
          <w:tcPr>
            <w:tcW w:w="340"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p>
        </w:tc>
        <w:tc>
          <w:tcPr>
            <w:tcW w:w="392" w:type="pct"/>
            <w:tcBorders>
              <w:tl2br w:val="nil"/>
              <w:tr2bl w:val="nil"/>
            </w:tcBorders>
            <w:vAlign w:val="center"/>
          </w:tcPr>
          <w:p>
            <w:pPr>
              <w:widowControl/>
              <w:jc w:val="center"/>
              <w:textAlignment w:val="center"/>
              <w:rPr>
                <w:rFonts w:ascii="宋体" w:hAnsi="宋体" w:cs="宋体"/>
                <w:sz w:val="18"/>
                <w:szCs w:val="18"/>
              </w:rPr>
            </w:pPr>
          </w:p>
        </w:tc>
        <w:tc>
          <w:tcPr>
            <w:tcW w:w="1255" w:type="pct"/>
            <w:tcBorders>
              <w:tl2br w:val="nil"/>
              <w:tr2bl w:val="nil"/>
            </w:tcBorders>
            <w:vAlign w:val="center"/>
          </w:tcPr>
          <w:p>
            <w:pPr>
              <w:widowControl/>
              <w:jc w:val="left"/>
              <w:textAlignment w:val="center"/>
              <w:rPr>
                <w:rFonts w:ascii="宋体" w:hAnsi="宋体" w:cs="宋体"/>
                <w:sz w:val="18"/>
                <w:szCs w:val="18"/>
              </w:rPr>
            </w:pPr>
          </w:p>
        </w:tc>
        <w:tc>
          <w:tcPr>
            <w:tcW w:w="336" w:type="pct"/>
            <w:tcBorders>
              <w:tl2br w:val="nil"/>
              <w:tr2bl w:val="nil"/>
            </w:tcBorders>
            <w:vAlign w:val="center"/>
          </w:tcPr>
          <w:p>
            <w:pPr>
              <w:widowControl/>
              <w:jc w:val="center"/>
              <w:textAlignment w:val="center"/>
              <w:rPr>
                <w:rFonts w:ascii="宋体" w:hAnsi="宋体" w:cs="宋体"/>
                <w:sz w:val="18"/>
                <w:szCs w:val="18"/>
              </w:rPr>
            </w:pP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14</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06393</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土木工程概论</w:t>
            </w:r>
          </w:p>
        </w:tc>
        <w:tc>
          <w:tcPr>
            <w:tcW w:w="340"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6" w:type="pct"/>
            <w:tcBorders>
              <w:tl2br w:val="nil"/>
              <w:tr2bl w:val="nil"/>
            </w:tcBorders>
            <w:vAlign w:val="center"/>
          </w:tcPr>
          <w:p>
            <w:pPr>
              <w:widowControl/>
              <w:jc w:val="center"/>
              <w:textAlignment w:val="center"/>
              <w:rPr>
                <w:rFonts w:ascii="宋体" w:hAnsi="宋体" w:cs="宋体"/>
                <w:sz w:val="18"/>
                <w:szCs w:val="18"/>
              </w:rPr>
            </w:pPr>
          </w:p>
        </w:tc>
        <w:tc>
          <w:tcPr>
            <w:tcW w:w="392" w:type="pct"/>
            <w:tcBorders>
              <w:tl2br w:val="nil"/>
              <w:tr2bl w:val="nil"/>
            </w:tcBorders>
            <w:vAlign w:val="center"/>
          </w:tcPr>
          <w:p>
            <w:pPr>
              <w:widowControl/>
              <w:jc w:val="left"/>
              <w:textAlignment w:val="center"/>
              <w:rPr>
                <w:rFonts w:ascii="宋体" w:hAnsi="宋体" w:cs="宋体"/>
                <w:sz w:val="18"/>
                <w:szCs w:val="18"/>
              </w:rPr>
            </w:pPr>
          </w:p>
        </w:tc>
        <w:tc>
          <w:tcPr>
            <w:tcW w:w="1255" w:type="pct"/>
            <w:tcBorders>
              <w:tl2br w:val="nil"/>
              <w:tr2bl w:val="nil"/>
            </w:tcBorders>
            <w:vAlign w:val="center"/>
          </w:tcPr>
          <w:p>
            <w:pPr>
              <w:widowControl/>
              <w:jc w:val="left"/>
              <w:textAlignment w:val="center"/>
              <w:rPr>
                <w:rFonts w:ascii="宋体" w:hAnsi="宋体" w:cs="宋体"/>
                <w:sz w:val="18"/>
                <w:szCs w:val="18"/>
              </w:rPr>
            </w:pPr>
          </w:p>
        </w:tc>
        <w:tc>
          <w:tcPr>
            <w:tcW w:w="336" w:type="pct"/>
            <w:tcBorders>
              <w:tl2br w:val="nil"/>
              <w:tr2bl w:val="nil"/>
            </w:tcBorders>
            <w:vAlign w:val="center"/>
          </w:tcPr>
          <w:p>
            <w:pPr>
              <w:widowControl/>
              <w:jc w:val="center"/>
              <w:textAlignment w:val="center"/>
              <w:rPr>
                <w:rFonts w:ascii="宋体" w:hAnsi="宋体" w:cs="宋体"/>
                <w:sz w:val="18"/>
                <w:szCs w:val="18"/>
              </w:rPr>
            </w:pPr>
          </w:p>
        </w:tc>
        <w:tc>
          <w:tcPr>
            <w:tcW w:w="347" w:type="pct"/>
            <w:tcBorders>
              <w:tl2br w:val="nil"/>
              <w:tr2bl w:val="nil"/>
            </w:tcBorders>
            <w:vAlign w:val="center"/>
          </w:tcPr>
          <w:p>
            <w:pPr>
              <w:widowControl/>
              <w:jc w:val="center"/>
              <w:textAlignment w:val="center"/>
              <w:rPr>
                <w:rFonts w:ascii="宋体" w:hAnsi="宋体" w:cs="宋体"/>
                <w:sz w:val="18"/>
                <w:szCs w:val="18"/>
              </w:rPr>
            </w:pPr>
            <w:r>
              <w:rPr>
                <w:sz w:val="18"/>
                <w:szCs w:val="18"/>
              </w:rPr>
              <w:t>15</w:t>
            </w:r>
          </w:p>
        </w:tc>
        <w:tc>
          <w:tcPr>
            <w:tcW w:w="414" w:type="pct"/>
            <w:tcBorders>
              <w:tl2br w:val="nil"/>
              <w:tr2bl w:val="nil"/>
            </w:tcBorders>
            <w:vAlign w:val="center"/>
          </w:tcPr>
          <w:p>
            <w:pPr>
              <w:widowControl/>
              <w:jc w:val="center"/>
              <w:textAlignment w:val="center"/>
              <w:rPr>
                <w:rFonts w:ascii="宋体" w:hAnsi="宋体" w:cs="宋体"/>
                <w:sz w:val="18"/>
                <w:szCs w:val="18"/>
              </w:rPr>
            </w:pPr>
            <w:r>
              <w:rPr>
                <w:sz w:val="18"/>
                <w:szCs w:val="18"/>
              </w:rPr>
              <w:t>06939</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建筑法规</w:t>
            </w:r>
          </w:p>
        </w:tc>
        <w:tc>
          <w:tcPr>
            <w:tcW w:w="340"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64"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5000" w:type="pct"/>
            <w:gridSpan w:val="9"/>
            <w:tcBorders>
              <w:tl2br w:val="nil"/>
              <w:tr2bl w:val="nil"/>
            </w:tcBorders>
            <w:vAlign w:val="center"/>
          </w:tcPr>
          <w:p>
            <w:pPr>
              <w:widowControl/>
              <w:jc w:val="left"/>
              <w:textAlignment w:val="center"/>
              <w:rPr>
                <w:rFonts w:ascii="楷体_GB2312" w:hAnsi="楷体_GB2312" w:eastAsia="楷体_GB2312" w:cs="楷体_GB2312"/>
                <w:sz w:val="18"/>
                <w:szCs w:val="18"/>
              </w:rPr>
            </w:pPr>
            <w:r>
              <w:rPr>
                <w:rFonts w:hint="eastAsia" w:ascii="楷体_GB2312" w:hAnsi="楷体_GB2312" w:eastAsia="楷体_GB2312" w:cs="楷体_GB2312"/>
                <w:sz w:val="18"/>
                <w:szCs w:val="18"/>
              </w:rPr>
              <w:t>说明：</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1</w:t>
            </w:r>
            <w:r>
              <w:rPr>
                <w:rFonts w:hint="eastAsia" w:ascii="楷体_GB2312" w:hAnsi="楷体_GB2312" w:eastAsia="楷体_GB2312" w:cs="楷体_GB2312"/>
                <w:sz w:val="18"/>
                <w:szCs w:val="18"/>
              </w:rPr>
              <w:t>.只能用已取得合格成绩的旧计划课程顶替新计划课程，不能逆向顶替。</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2</w:t>
            </w:r>
            <w:r>
              <w:rPr>
                <w:rFonts w:hint="eastAsia" w:ascii="楷体_GB2312" w:hAnsi="楷体_GB2312" w:eastAsia="楷体_GB2312" w:cs="楷体_GB2312"/>
                <w:sz w:val="18"/>
                <w:szCs w:val="18"/>
              </w:rPr>
              <w:t>.</w:t>
            </w:r>
            <w:r>
              <w:rPr>
                <w:rFonts w:eastAsia="楷体_GB2312"/>
                <w:sz w:val="18"/>
                <w:szCs w:val="18"/>
              </w:rPr>
              <w:t>1</w:t>
            </w:r>
            <w:r>
              <w:rPr>
                <w:rFonts w:hint="eastAsia" w:ascii="楷体_GB2312" w:hAnsi="楷体_GB2312" w:eastAsia="楷体_GB2312" w:cs="楷体_GB2312"/>
                <w:sz w:val="18"/>
                <w:szCs w:val="18"/>
              </w:rPr>
              <w:t>个序号为</w:t>
            </w:r>
            <w:r>
              <w:rPr>
                <w:rFonts w:eastAsia="楷体_GB2312"/>
                <w:sz w:val="18"/>
                <w:szCs w:val="18"/>
              </w:rPr>
              <w:t>1</w:t>
            </w:r>
            <w:r>
              <w:rPr>
                <w:rFonts w:hint="eastAsia" w:ascii="楷体_GB2312" w:hAnsi="楷体_GB2312" w:eastAsia="楷体_GB2312" w:cs="楷体_GB2312"/>
                <w:sz w:val="18"/>
                <w:szCs w:val="18"/>
              </w:rPr>
              <w:t>门完整课程，</w:t>
            </w:r>
            <w:r>
              <w:rPr>
                <w:rFonts w:eastAsia="楷体_GB2312"/>
                <w:sz w:val="18"/>
                <w:szCs w:val="18"/>
              </w:rPr>
              <w:t>1</w:t>
            </w:r>
            <w:r>
              <w:rPr>
                <w:rFonts w:hint="eastAsia" w:ascii="楷体_GB2312" w:hAnsi="楷体_GB2312" w:eastAsia="楷体_GB2312" w:cs="楷体_GB2312"/>
                <w:sz w:val="18"/>
                <w:szCs w:val="18"/>
              </w:rPr>
              <w:t>门课程只能选择一种顶替办法，不能重复使用。</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3</w:t>
            </w:r>
            <w:r>
              <w:rPr>
                <w:rFonts w:hint="eastAsia" w:ascii="楷体_GB2312" w:hAnsi="楷体_GB2312" w:eastAsia="楷体_GB2312" w:cs="楷体_GB2312"/>
                <w:sz w:val="18"/>
                <w:szCs w:val="18"/>
              </w:rPr>
              <w:t>.对应顶替区课程，同一行</w:t>
            </w:r>
            <w:r>
              <w:rPr>
                <w:rFonts w:eastAsia="楷体_GB2312"/>
                <w:sz w:val="18"/>
                <w:szCs w:val="18"/>
              </w:rPr>
              <w:t>1</w:t>
            </w:r>
            <w:r>
              <w:rPr>
                <w:rFonts w:hint="eastAsia" w:ascii="楷体_GB2312" w:hAnsi="楷体_GB2312" w:eastAsia="楷体_GB2312" w:cs="楷体_GB2312"/>
                <w:sz w:val="18"/>
                <w:szCs w:val="18"/>
              </w:rPr>
              <w:t>门课程顶替</w:t>
            </w:r>
            <w:r>
              <w:rPr>
                <w:rFonts w:eastAsia="楷体_GB2312"/>
                <w:sz w:val="18"/>
                <w:szCs w:val="18"/>
              </w:rPr>
              <w:t>1</w:t>
            </w:r>
            <w:r>
              <w:rPr>
                <w:rFonts w:hint="eastAsia" w:ascii="楷体_GB2312" w:hAnsi="楷体_GB2312" w:eastAsia="楷体_GB2312" w:cs="楷体_GB2312"/>
                <w:sz w:val="18"/>
                <w:szCs w:val="18"/>
              </w:rPr>
              <w:t>门课程，不能顶替其他课程。</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4</w:t>
            </w:r>
            <w:r>
              <w:rPr>
                <w:rFonts w:hint="eastAsia" w:ascii="楷体_GB2312" w:hAnsi="楷体_GB2312" w:eastAsia="楷体_GB2312" w:cs="楷体_GB2312"/>
                <w:sz w:val="18"/>
                <w:szCs w:val="18"/>
              </w:rPr>
              <w:t>.选择顶替区课程，旧计划任选</w:t>
            </w:r>
            <w:r>
              <w:rPr>
                <w:rFonts w:eastAsia="楷体_GB2312"/>
                <w:sz w:val="18"/>
                <w:szCs w:val="18"/>
              </w:rPr>
              <w:t>1</w:t>
            </w:r>
            <w:r>
              <w:rPr>
                <w:rFonts w:hint="eastAsia" w:ascii="楷体_GB2312" w:hAnsi="楷体_GB2312" w:eastAsia="楷体_GB2312" w:cs="楷体_GB2312"/>
                <w:sz w:val="18"/>
                <w:szCs w:val="18"/>
              </w:rPr>
              <w:t>门课程顶替新计划任意</w:t>
            </w:r>
            <w:r>
              <w:rPr>
                <w:rFonts w:eastAsia="楷体_GB2312"/>
                <w:sz w:val="18"/>
                <w:szCs w:val="18"/>
              </w:rPr>
              <w:t>1</w:t>
            </w:r>
            <w:r>
              <w:rPr>
                <w:rFonts w:hint="eastAsia" w:ascii="楷体_GB2312" w:hAnsi="楷体_GB2312" w:eastAsia="楷体_GB2312" w:cs="楷体_GB2312"/>
                <w:sz w:val="18"/>
                <w:szCs w:val="18"/>
              </w:rPr>
              <w:t>门课程。</w:t>
            </w:r>
          </w:p>
        </w:tc>
      </w:tr>
    </w:tbl>
    <w:p>
      <w:pPr>
        <w:spacing w:line="500" w:lineRule="exact"/>
        <w:jc w:val="center"/>
        <w:rPr>
          <w:rFonts w:ascii="方正小标宋_GBK" w:hAnsi="方正小标宋_GBK" w:eastAsia="方正小标宋_GBK" w:cs="方正小标宋_GBK"/>
          <w:kern w:val="0"/>
          <w:sz w:val="36"/>
          <w:szCs w:val="36"/>
        </w:rPr>
      </w:pPr>
    </w:p>
    <w:p>
      <w:pPr>
        <w:spacing w:line="500" w:lineRule="exact"/>
        <w:jc w:val="center"/>
        <w:rPr>
          <w:rFonts w:ascii="方正小标宋_GBK" w:hAnsi="方正小标宋_GBK" w:eastAsia="方正小标宋_GBK" w:cs="方正小标宋_GBK"/>
          <w:kern w:val="0"/>
          <w:sz w:val="36"/>
          <w:szCs w:val="36"/>
        </w:rPr>
      </w:pPr>
    </w:p>
    <w:p>
      <w:pPr>
        <w:spacing w:line="500" w:lineRule="exact"/>
        <w:jc w:val="center"/>
        <w:rPr>
          <w:rFonts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工程管理（专升本）专业考试计划对应衔接表</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756"/>
        <w:gridCol w:w="2423"/>
        <w:gridCol w:w="650"/>
        <w:gridCol w:w="675"/>
        <w:gridCol w:w="804"/>
        <w:gridCol w:w="2373"/>
        <w:gridCol w:w="650"/>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8" w:hRule="atLeast"/>
          <w:jc w:val="center"/>
        </w:trPr>
        <w:tc>
          <w:tcPr>
            <w:tcW w:w="2305" w:type="pct"/>
            <w:gridSpan w:val="4"/>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旧计划课程</w:t>
            </w:r>
          </w:p>
        </w:tc>
        <w:tc>
          <w:tcPr>
            <w:tcW w:w="2335" w:type="pct"/>
            <w:gridSpan w:val="4"/>
            <w:tcBorders>
              <w:tl2br w:val="nil"/>
              <w:tr2bl w:val="nil"/>
            </w:tcBorders>
            <w:vAlign w:val="center"/>
          </w:tcPr>
          <w:p>
            <w:pPr>
              <w:widowControl/>
              <w:spacing w:line="300" w:lineRule="exact"/>
              <w:jc w:val="center"/>
              <w:rPr>
                <w:rFonts w:ascii="黑体" w:hAnsi="黑体" w:eastAsia="黑体" w:cs="黑体"/>
                <w:sz w:val="18"/>
                <w:szCs w:val="18"/>
              </w:rPr>
            </w:pPr>
            <w:r>
              <w:rPr>
                <w:rFonts w:hint="eastAsia" w:ascii="黑体" w:hAnsi="黑体" w:eastAsia="黑体" w:cs="黑体"/>
                <w:sz w:val="18"/>
                <w:szCs w:val="18"/>
              </w:rPr>
              <w:t>新计划课程</w:t>
            </w:r>
          </w:p>
        </w:tc>
        <w:tc>
          <w:tcPr>
            <w:tcW w:w="358" w:type="pct"/>
            <w:vMerge w:val="restart"/>
            <w:tcBorders>
              <w:tl2br w:val="nil"/>
              <w:tr2bl w:val="nil"/>
            </w:tcBorders>
            <w:vAlign w:val="center"/>
          </w:tcPr>
          <w:p>
            <w:pPr>
              <w:widowControl/>
              <w:spacing w:line="300" w:lineRule="exact"/>
              <w:jc w:val="center"/>
              <w:rPr>
                <w:rFonts w:eastAsia="方正黑体_GBK"/>
                <w:sz w:val="18"/>
                <w:szCs w:val="18"/>
              </w:rPr>
            </w:pPr>
            <w:r>
              <w:rPr>
                <w:rFonts w:hint="eastAsia" w:ascii="黑体" w:hAnsi="黑体"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305" w:type="pct"/>
            <w:gridSpan w:val="4"/>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建筑经济管理（专升本），</w:t>
            </w:r>
            <w:r>
              <w:rPr>
                <w:rFonts w:eastAsia="黑体"/>
                <w:kern w:val="0"/>
                <w:sz w:val="18"/>
                <w:szCs w:val="18"/>
              </w:rPr>
              <w:t>B020221</w:t>
            </w:r>
          </w:p>
        </w:tc>
        <w:tc>
          <w:tcPr>
            <w:tcW w:w="2335" w:type="pct"/>
            <w:gridSpan w:val="4"/>
            <w:tcBorders>
              <w:tl2br w:val="nil"/>
              <w:tr2bl w:val="nil"/>
            </w:tcBorders>
            <w:vAlign w:val="center"/>
          </w:tcPr>
          <w:p>
            <w:pPr>
              <w:widowControl/>
              <w:spacing w:line="300" w:lineRule="exact"/>
              <w:jc w:val="center"/>
              <w:rPr>
                <w:rFonts w:ascii="黑体" w:hAnsi="黑体" w:eastAsia="黑体" w:cs="黑体"/>
                <w:kern w:val="0"/>
                <w:sz w:val="18"/>
                <w:szCs w:val="18"/>
                <w:lang w:val="zh-CN"/>
              </w:rPr>
            </w:pPr>
            <w:r>
              <w:rPr>
                <w:rFonts w:hint="eastAsia" w:ascii="黑体" w:hAnsi="黑体" w:eastAsia="黑体" w:cs="黑体"/>
                <w:kern w:val="0"/>
                <w:sz w:val="18"/>
                <w:szCs w:val="18"/>
              </w:rPr>
              <w:t>工程管理（专升本），</w:t>
            </w:r>
            <w:r>
              <w:rPr>
                <w:rFonts w:eastAsia="黑体"/>
                <w:kern w:val="0"/>
                <w:sz w:val="18"/>
                <w:szCs w:val="18"/>
              </w:rPr>
              <w:t>H120103</w:t>
            </w:r>
          </w:p>
        </w:tc>
        <w:tc>
          <w:tcPr>
            <w:tcW w:w="358" w:type="pct"/>
            <w:vMerge w:val="continue"/>
            <w:tcBorders>
              <w:tl2br w:val="nil"/>
              <w:tr2bl w:val="nil"/>
            </w:tcBorders>
            <w:vAlign w:val="center"/>
          </w:tcPr>
          <w:p>
            <w:pPr>
              <w:widowControl/>
              <w:spacing w:line="300" w:lineRule="exact"/>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392"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课码</w:t>
            </w:r>
          </w:p>
        </w:tc>
        <w:tc>
          <w:tcPr>
            <w:tcW w:w="1257"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课程名称</w:t>
            </w:r>
          </w:p>
        </w:tc>
        <w:tc>
          <w:tcPr>
            <w:tcW w:w="336"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学分</w:t>
            </w:r>
          </w:p>
        </w:tc>
        <w:tc>
          <w:tcPr>
            <w:tcW w:w="350"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417"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课码</w:t>
            </w:r>
          </w:p>
        </w:tc>
        <w:tc>
          <w:tcPr>
            <w:tcW w:w="1231"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课程名称</w:t>
            </w:r>
          </w:p>
        </w:tc>
        <w:tc>
          <w:tcPr>
            <w:tcW w:w="335" w:type="pct"/>
            <w:tcBorders>
              <w:tl2br w:val="nil"/>
              <w:tr2bl w:val="nil"/>
            </w:tcBorders>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学分</w:t>
            </w:r>
          </w:p>
        </w:tc>
        <w:tc>
          <w:tcPr>
            <w:tcW w:w="358" w:type="pct"/>
            <w:tcBorders>
              <w:tl2br w:val="nil"/>
              <w:tr2bl w:val="nil"/>
            </w:tcBorders>
            <w:vAlign w:val="center"/>
          </w:tcPr>
          <w:p>
            <w:pPr>
              <w:widowControl/>
              <w:spacing w:line="300" w:lineRule="exact"/>
              <w:jc w:val="center"/>
              <w:rPr>
                <w:rFonts w:ascii="黑体" w:hAnsi="黑体"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03708</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中国近现代史纲要</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03708</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中国近现代史纲要</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2</w:t>
            </w:r>
          </w:p>
        </w:tc>
        <w:tc>
          <w:tcPr>
            <w:tcW w:w="358" w:type="pct"/>
            <w:vMerge w:val="restart"/>
            <w:tcBorders>
              <w:tl2br w:val="nil"/>
              <w:tr2bl w:val="nil"/>
            </w:tcBorders>
            <w:vAlign w:val="center"/>
          </w:tcPr>
          <w:p>
            <w:pPr>
              <w:widowControl/>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03709</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马克思主义基本原理概论</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03709</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马克思主义基本原理概论</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00015</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英语（二）</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14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10633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工程造价管理</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02197</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概率论与数理统计（二）</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10993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工程数学（线性代数、概率论与数理统计）</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01564</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工程建设监理概论</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01854</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工程质量管理</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vMerge w:val="restart"/>
            <w:tcBorders>
              <w:tl2br w:val="nil"/>
              <w:tr2bl w:val="nil"/>
            </w:tcBorders>
            <w:vAlign w:val="center"/>
          </w:tcPr>
          <w:p>
            <w:pPr>
              <w:jc w:val="center"/>
              <w:rPr>
                <w:rFonts w:ascii="宋体" w:hAnsi="宋体" w:cs="宋体"/>
                <w:sz w:val="18"/>
                <w:szCs w:val="18"/>
              </w:rPr>
            </w:pPr>
            <w:r>
              <w:rPr>
                <w:sz w:val="18"/>
                <w:szCs w:val="18"/>
              </w:rPr>
              <w:t>6</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02631</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计算机辅助管理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50"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6</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02382</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管理信息系统</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vMerge w:val="continue"/>
            <w:tcBorders>
              <w:tl2br w:val="nil"/>
              <w:tr2bl w:val="nil"/>
            </w:tcBorders>
            <w:vAlign w:val="center"/>
          </w:tcPr>
          <w:p>
            <w:pPr>
              <w:widowControl/>
              <w:jc w:val="center"/>
              <w:textAlignment w:val="center"/>
              <w:rPr>
                <w:rFonts w:ascii="宋体" w:hAnsi="宋体" w:cs="宋体"/>
                <w:sz w:val="18"/>
                <w:szCs w:val="18"/>
              </w:rPr>
            </w:pP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02632</w:t>
            </w:r>
          </w:p>
        </w:tc>
        <w:tc>
          <w:tcPr>
            <w:tcW w:w="1257" w:type="pct"/>
            <w:tcBorders>
              <w:tl2br w:val="nil"/>
              <w:tr2bl w:val="nil"/>
            </w:tcBorders>
            <w:vAlign w:val="center"/>
          </w:tcPr>
          <w:p>
            <w:pPr>
              <w:widowControl/>
              <w:textAlignment w:val="center"/>
              <w:rPr>
                <w:rFonts w:ascii="宋体" w:hAnsi="宋体" w:cs="宋体"/>
                <w:sz w:val="18"/>
                <w:szCs w:val="18"/>
              </w:rPr>
            </w:pPr>
            <w:r>
              <w:rPr>
                <w:rFonts w:hint="eastAsia" w:ascii="宋体" w:hAnsi="宋体" w:cs="宋体"/>
                <w:sz w:val="18"/>
                <w:szCs w:val="18"/>
              </w:rPr>
              <w:t>计算机辅助管理（实践）</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50" w:type="pct"/>
            <w:vMerge w:val="continue"/>
            <w:tcBorders>
              <w:tl2br w:val="nil"/>
              <w:tr2bl w:val="nil"/>
            </w:tcBorders>
            <w:vAlign w:val="center"/>
          </w:tcPr>
          <w:p>
            <w:pPr>
              <w:widowControl/>
              <w:jc w:val="center"/>
              <w:textAlignment w:val="center"/>
              <w:rPr>
                <w:rFonts w:ascii="宋体" w:hAnsi="宋体" w:cs="宋体"/>
                <w:sz w:val="18"/>
                <w:szCs w:val="18"/>
              </w:rPr>
            </w:pP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02383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管理信息系统（实践）</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1</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7</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02657</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建筑工程技术经济学</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7</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04156</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建筑工程经济</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8</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02655</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建筑施工（二）</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8</w:t>
            </w:r>
          </w:p>
        </w:tc>
        <w:tc>
          <w:tcPr>
            <w:tcW w:w="417"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04618</w:t>
            </w:r>
          </w:p>
        </w:tc>
        <w:tc>
          <w:tcPr>
            <w:tcW w:w="1231" w:type="pct"/>
            <w:vMerge w:val="restar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工程施工</w:t>
            </w:r>
          </w:p>
        </w:tc>
        <w:tc>
          <w:tcPr>
            <w:tcW w:w="335" w:type="pct"/>
            <w:vMerge w:val="restar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5</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vMerge w:val="continue"/>
            <w:tcBorders>
              <w:tl2br w:val="nil"/>
              <w:tr2bl w:val="nil"/>
            </w:tcBorders>
            <w:vAlign w:val="center"/>
          </w:tcPr>
          <w:p>
            <w:pPr>
              <w:widowControl/>
              <w:jc w:val="center"/>
              <w:textAlignment w:val="center"/>
              <w:rPr>
                <w:rFonts w:ascii="宋体" w:hAnsi="宋体" w:cs="宋体"/>
                <w:sz w:val="18"/>
                <w:szCs w:val="18"/>
              </w:rPr>
            </w:pP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02656</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建筑施工（二）（实践）</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350" w:type="pct"/>
            <w:vMerge w:val="continue"/>
            <w:tcBorders>
              <w:tl2br w:val="nil"/>
              <w:tr2bl w:val="nil"/>
            </w:tcBorders>
            <w:vAlign w:val="center"/>
          </w:tcPr>
          <w:p>
            <w:pPr>
              <w:widowControl/>
              <w:jc w:val="center"/>
              <w:textAlignment w:val="center"/>
              <w:rPr>
                <w:rFonts w:ascii="宋体" w:hAnsi="宋体" w:cs="宋体"/>
                <w:sz w:val="18"/>
                <w:szCs w:val="18"/>
              </w:rPr>
            </w:pPr>
          </w:p>
        </w:tc>
        <w:tc>
          <w:tcPr>
            <w:tcW w:w="417" w:type="pct"/>
            <w:vMerge w:val="continue"/>
            <w:tcBorders>
              <w:tl2br w:val="nil"/>
              <w:tr2bl w:val="nil"/>
            </w:tcBorders>
            <w:vAlign w:val="center"/>
          </w:tcPr>
          <w:p>
            <w:pPr>
              <w:widowControl/>
              <w:jc w:val="center"/>
              <w:textAlignment w:val="center"/>
              <w:rPr>
                <w:rFonts w:ascii="宋体" w:hAnsi="宋体" w:cs="宋体"/>
                <w:sz w:val="18"/>
                <w:szCs w:val="18"/>
              </w:rPr>
            </w:pPr>
          </w:p>
        </w:tc>
        <w:tc>
          <w:tcPr>
            <w:tcW w:w="1231" w:type="pct"/>
            <w:vMerge w:val="continue"/>
            <w:tcBorders>
              <w:tl2br w:val="nil"/>
              <w:tr2bl w:val="nil"/>
            </w:tcBorders>
            <w:vAlign w:val="center"/>
          </w:tcPr>
          <w:p>
            <w:pPr>
              <w:widowControl/>
              <w:jc w:val="left"/>
              <w:textAlignment w:val="center"/>
              <w:rPr>
                <w:rFonts w:ascii="宋体" w:hAnsi="宋体" w:cs="宋体"/>
                <w:kern w:val="0"/>
                <w:sz w:val="18"/>
                <w:szCs w:val="18"/>
                <w:lang w:bidi="ar"/>
              </w:rPr>
            </w:pPr>
          </w:p>
        </w:tc>
        <w:tc>
          <w:tcPr>
            <w:tcW w:w="335" w:type="pct"/>
            <w:vMerge w:val="continue"/>
            <w:tcBorders>
              <w:tl2br w:val="nil"/>
              <w:tr2bl w:val="nil"/>
            </w:tcBorders>
            <w:vAlign w:val="center"/>
          </w:tcPr>
          <w:p>
            <w:pPr>
              <w:widowControl/>
              <w:jc w:val="center"/>
              <w:textAlignment w:val="center"/>
              <w:rPr>
                <w:rFonts w:ascii="宋体" w:hAnsi="宋体" w:cs="宋体"/>
                <w:kern w:val="0"/>
                <w:sz w:val="18"/>
                <w:szCs w:val="18"/>
                <w:lang w:bidi="ar"/>
              </w:rPr>
            </w:pP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9</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02275</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计算机基础与程序设计</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9</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06396</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国际工程承包与管理</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restart"/>
            <w:tcBorders>
              <w:tl2br w:val="nil"/>
              <w:tr2bl w:val="nil"/>
            </w:tcBorders>
            <w:vAlign w:val="center"/>
          </w:tcPr>
          <w:p>
            <w:pPr>
              <w:widowControl/>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10</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02447</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建筑经济与企业管理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10</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13620</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工程安全管理与环境保护</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11</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02460</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工程质量与进度控制</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11</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13683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管理学原理（中级）</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6</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12</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02658</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建筑工程项目管理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12</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06393</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土木工程概论</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13</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06394</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 xml:space="preserve">建筑投资经济学 </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6</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13</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06939</w:t>
            </w:r>
          </w:p>
        </w:tc>
        <w:tc>
          <w:tcPr>
            <w:tcW w:w="1231" w:type="pct"/>
            <w:tcBorders>
              <w:tl2br w:val="nil"/>
              <w:tr2bl w:val="nil"/>
            </w:tcBorders>
            <w:vAlign w:val="center"/>
          </w:tcPr>
          <w:p>
            <w:pPr>
              <w:widowControl/>
              <w:jc w:val="left"/>
              <w:textAlignment w:val="center"/>
              <w:rPr>
                <w:rFonts w:ascii="宋体" w:hAnsi="宋体" w:cs="宋体"/>
                <w:kern w:val="0"/>
                <w:sz w:val="18"/>
                <w:szCs w:val="18"/>
                <w:lang w:bidi="ar"/>
              </w:rPr>
            </w:pPr>
            <w:r>
              <w:rPr>
                <w:rFonts w:hint="eastAsia" w:ascii="宋体" w:hAnsi="宋体" w:cs="宋体"/>
                <w:sz w:val="18"/>
                <w:szCs w:val="18"/>
              </w:rPr>
              <w:t>建筑法规</w:t>
            </w:r>
          </w:p>
        </w:tc>
        <w:tc>
          <w:tcPr>
            <w:tcW w:w="335" w:type="pct"/>
            <w:tcBorders>
              <w:tl2br w:val="nil"/>
              <w:tr2bl w:val="nil"/>
            </w:tcBorders>
            <w:vAlign w:val="center"/>
          </w:tcPr>
          <w:p>
            <w:pPr>
              <w:widowControl/>
              <w:jc w:val="center"/>
              <w:textAlignment w:val="center"/>
              <w:rPr>
                <w:rFonts w:ascii="宋体" w:hAnsi="宋体" w:cs="宋体"/>
                <w:kern w:val="0"/>
                <w:sz w:val="18"/>
                <w:szCs w:val="18"/>
                <w:lang w:bidi="ar"/>
              </w:rPr>
            </w:pPr>
            <w:r>
              <w:rPr>
                <w:sz w:val="18"/>
                <w:szCs w:val="18"/>
              </w:rPr>
              <w:t>4</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14</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00041</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基础会计学</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50" w:type="pct"/>
            <w:tcBorders>
              <w:tl2br w:val="nil"/>
              <w:tr2bl w:val="nil"/>
            </w:tcBorders>
            <w:vAlign w:val="center"/>
          </w:tcPr>
          <w:p>
            <w:pPr>
              <w:widowControl/>
              <w:jc w:val="center"/>
              <w:textAlignment w:val="center"/>
              <w:rPr>
                <w:rFonts w:ascii="宋体" w:hAnsi="宋体" w:cs="宋体"/>
                <w:sz w:val="18"/>
                <w:szCs w:val="18"/>
              </w:rPr>
            </w:pPr>
            <w:r>
              <w:rPr>
                <w:sz w:val="18"/>
                <w:szCs w:val="18"/>
              </w:rPr>
              <w:t>14</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13634</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工程合同管理</w:t>
            </w:r>
          </w:p>
        </w:tc>
        <w:tc>
          <w:tcPr>
            <w:tcW w:w="335"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jc w:val="center"/>
              <w:rPr>
                <w:rFonts w:ascii="宋体" w:hAnsi="宋体" w:cs="宋体"/>
                <w:sz w:val="18"/>
                <w:szCs w:val="18"/>
              </w:rPr>
            </w:pPr>
            <w:r>
              <w:rPr>
                <w:sz w:val="18"/>
                <w:szCs w:val="18"/>
              </w:rPr>
              <w:t>15</w:t>
            </w:r>
          </w:p>
        </w:tc>
        <w:tc>
          <w:tcPr>
            <w:tcW w:w="392" w:type="pct"/>
            <w:tcBorders>
              <w:tl2br w:val="nil"/>
              <w:tr2bl w:val="nil"/>
            </w:tcBorders>
            <w:vAlign w:val="center"/>
          </w:tcPr>
          <w:p>
            <w:pPr>
              <w:jc w:val="center"/>
              <w:rPr>
                <w:rFonts w:ascii="宋体" w:hAnsi="宋体" w:cs="宋体"/>
                <w:sz w:val="18"/>
                <w:szCs w:val="18"/>
              </w:rPr>
            </w:pPr>
            <w:r>
              <w:rPr>
                <w:sz w:val="18"/>
                <w:szCs w:val="18"/>
              </w:rPr>
              <w:t>00043</w:t>
            </w:r>
          </w:p>
        </w:tc>
        <w:tc>
          <w:tcPr>
            <w:tcW w:w="1257" w:type="pct"/>
            <w:tcBorders>
              <w:tl2br w:val="nil"/>
              <w:tr2bl w:val="nil"/>
            </w:tcBorders>
            <w:vAlign w:val="center"/>
          </w:tcPr>
          <w:p>
            <w:pPr>
              <w:rPr>
                <w:rFonts w:ascii="宋体" w:hAnsi="宋体" w:cs="宋体"/>
                <w:sz w:val="18"/>
                <w:szCs w:val="18"/>
              </w:rPr>
            </w:pPr>
            <w:r>
              <w:rPr>
                <w:rFonts w:hint="eastAsia" w:ascii="宋体" w:hAnsi="宋体" w:cs="宋体"/>
                <w:sz w:val="18"/>
                <w:szCs w:val="18"/>
              </w:rPr>
              <w:t>经济法概论（财经类）</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vMerge w:val="restart"/>
            <w:tcBorders>
              <w:tl2br w:val="nil"/>
              <w:tr2bl w:val="nil"/>
            </w:tcBorders>
            <w:vAlign w:val="center"/>
          </w:tcPr>
          <w:p>
            <w:pPr>
              <w:widowControl/>
              <w:jc w:val="center"/>
              <w:textAlignment w:val="center"/>
              <w:rPr>
                <w:rFonts w:ascii="宋体" w:hAnsi="宋体" w:cs="宋体"/>
                <w:sz w:val="18"/>
                <w:szCs w:val="18"/>
              </w:rPr>
            </w:pPr>
            <w:r>
              <w:rPr>
                <w:sz w:val="18"/>
                <w:szCs w:val="18"/>
              </w:rPr>
              <w:t>15</w:t>
            </w: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13648</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工程项目管理</w:t>
            </w:r>
          </w:p>
        </w:tc>
        <w:tc>
          <w:tcPr>
            <w:tcW w:w="335"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16</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00170</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建筑工程定额与预算</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4</w:t>
            </w:r>
          </w:p>
        </w:tc>
        <w:tc>
          <w:tcPr>
            <w:tcW w:w="350" w:type="pct"/>
            <w:vMerge w:val="continue"/>
            <w:tcBorders>
              <w:tl2br w:val="nil"/>
              <w:tr2bl w:val="nil"/>
            </w:tcBorders>
            <w:vAlign w:val="center"/>
          </w:tcPr>
          <w:p>
            <w:pPr>
              <w:widowControl/>
              <w:jc w:val="center"/>
              <w:textAlignment w:val="center"/>
              <w:rPr>
                <w:rFonts w:ascii="宋体" w:hAnsi="宋体" w:cs="宋体"/>
                <w:sz w:val="18"/>
                <w:szCs w:val="18"/>
              </w:rPr>
            </w:pPr>
          </w:p>
        </w:tc>
        <w:tc>
          <w:tcPr>
            <w:tcW w:w="417" w:type="pct"/>
            <w:tcBorders>
              <w:tl2br w:val="nil"/>
              <w:tr2bl w:val="nil"/>
            </w:tcBorders>
            <w:vAlign w:val="center"/>
          </w:tcPr>
          <w:p>
            <w:pPr>
              <w:widowControl/>
              <w:jc w:val="center"/>
              <w:textAlignment w:val="center"/>
              <w:rPr>
                <w:rFonts w:ascii="宋体" w:hAnsi="宋体" w:cs="宋体"/>
                <w:sz w:val="18"/>
                <w:szCs w:val="18"/>
              </w:rPr>
            </w:pPr>
            <w:r>
              <w:rPr>
                <w:sz w:val="18"/>
                <w:szCs w:val="18"/>
              </w:rPr>
              <w:t>13649</w:t>
            </w:r>
          </w:p>
        </w:tc>
        <w:tc>
          <w:tcPr>
            <w:tcW w:w="1231"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工程项目管理（实践）</w:t>
            </w:r>
          </w:p>
        </w:tc>
        <w:tc>
          <w:tcPr>
            <w:tcW w:w="335" w:type="pct"/>
            <w:tcBorders>
              <w:tl2br w:val="nil"/>
              <w:tr2bl w:val="nil"/>
            </w:tcBorders>
            <w:vAlign w:val="center"/>
          </w:tcPr>
          <w:p>
            <w:pPr>
              <w:widowControl/>
              <w:jc w:val="center"/>
              <w:textAlignment w:val="center"/>
              <w:rPr>
                <w:rFonts w:ascii="宋体" w:hAnsi="宋体" w:cs="宋体"/>
                <w:sz w:val="18"/>
                <w:szCs w:val="18"/>
              </w:rPr>
            </w:pPr>
            <w:r>
              <w:rPr>
                <w:sz w:val="18"/>
                <w:szCs w:val="18"/>
              </w:rPr>
              <w:t>1</w:t>
            </w: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17</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02389</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建筑材料</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2</w:t>
            </w:r>
          </w:p>
        </w:tc>
        <w:tc>
          <w:tcPr>
            <w:tcW w:w="350" w:type="pct"/>
            <w:tcBorders>
              <w:tl2br w:val="nil"/>
              <w:tr2bl w:val="nil"/>
            </w:tcBorders>
            <w:vAlign w:val="center"/>
          </w:tcPr>
          <w:p>
            <w:pPr>
              <w:widowControl/>
              <w:jc w:val="center"/>
              <w:textAlignment w:val="center"/>
              <w:rPr>
                <w:rFonts w:ascii="宋体" w:hAnsi="宋体" w:cs="宋体"/>
                <w:sz w:val="18"/>
                <w:szCs w:val="18"/>
              </w:rPr>
            </w:pPr>
          </w:p>
        </w:tc>
        <w:tc>
          <w:tcPr>
            <w:tcW w:w="417" w:type="pct"/>
            <w:tcBorders>
              <w:tl2br w:val="nil"/>
              <w:tr2bl w:val="nil"/>
            </w:tcBorders>
            <w:vAlign w:val="center"/>
          </w:tcPr>
          <w:p>
            <w:pPr>
              <w:widowControl/>
              <w:jc w:val="center"/>
              <w:textAlignment w:val="center"/>
              <w:rPr>
                <w:rFonts w:ascii="宋体" w:hAnsi="宋体" w:cs="宋体"/>
                <w:sz w:val="18"/>
                <w:szCs w:val="18"/>
              </w:rPr>
            </w:pPr>
          </w:p>
        </w:tc>
        <w:tc>
          <w:tcPr>
            <w:tcW w:w="1231" w:type="pct"/>
            <w:tcBorders>
              <w:tl2br w:val="nil"/>
              <w:tr2bl w:val="nil"/>
            </w:tcBorders>
            <w:vAlign w:val="center"/>
          </w:tcPr>
          <w:p>
            <w:pPr>
              <w:widowControl/>
              <w:jc w:val="left"/>
              <w:textAlignment w:val="center"/>
              <w:rPr>
                <w:rFonts w:ascii="宋体" w:hAnsi="宋体" w:cs="宋体"/>
                <w:sz w:val="18"/>
                <w:szCs w:val="18"/>
              </w:rPr>
            </w:pPr>
          </w:p>
        </w:tc>
        <w:tc>
          <w:tcPr>
            <w:tcW w:w="335" w:type="pct"/>
            <w:tcBorders>
              <w:tl2br w:val="nil"/>
              <w:tr2bl w:val="nil"/>
            </w:tcBorders>
            <w:vAlign w:val="center"/>
          </w:tcPr>
          <w:p>
            <w:pPr>
              <w:widowControl/>
              <w:jc w:val="center"/>
              <w:textAlignment w:val="center"/>
              <w:rPr>
                <w:rFonts w:ascii="宋体" w:hAnsi="宋体" w:cs="宋体"/>
                <w:sz w:val="18"/>
                <w:szCs w:val="18"/>
              </w:rPr>
            </w:pP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rFonts w:ascii="宋体" w:hAnsi="宋体" w:cs="宋体"/>
                <w:sz w:val="18"/>
                <w:szCs w:val="18"/>
              </w:rPr>
            </w:pPr>
            <w:r>
              <w:rPr>
                <w:sz w:val="18"/>
                <w:szCs w:val="18"/>
              </w:rPr>
              <w:t>18</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02446</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建筑设备</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3</w:t>
            </w:r>
          </w:p>
        </w:tc>
        <w:tc>
          <w:tcPr>
            <w:tcW w:w="350" w:type="pct"/>
            <w:tcBorders>
              <w:tl2br w:val="nil"/>
              <w:tr2bl w:val="nil"/>
            </w:tcBorders>
            <w:vAlign w:val="center"/>
          </w:tcPr>
          <w:p>
            <w:pPr>
              <w:widowControl/>
              <w:jc w:val="center"/>
              <w:textAlignment w:val="center"/>
              <w:rPr>
                <w:rFonts w:ascii="宋体" w:hAnsi="宋体" w:cs="宋体"/>
                <w:sz w:val="18"/>
                <w:szCs w:val="18"/>
              </w:rPr>
            </w:pPr>
          </w:p>
        </w:tc>
        <w:tc>
          <w:tcPr>
            <w:tcW w:w="417" w:type="pct"/>
            <w:tcBorders>
              <w:tl2br w:val="nil"/>
              <w:tr2bl w:val="nil"/>
            </w:tcBorders>
            <w:vAlign w:val="center"/>
          </w:tcPr>
          <w:p>
            <w:pPr>
              <w:widowControl/>
              <w:jc w:val="center"/>
              <w:textAlignment w:val="center"/>
              <w:rPr>
                <w:rFonts w:ascii="宋体" w:hAnsi="宋体" w:cs="宋体"/>
                <w:sz w:val="18"/>
                <w:szCs w:val="18"/>
              </w:rPr>
            </w:pPr>
          </w:p>
        </w:tc>
        <w:tc>
          <w:tcPr>
            <w:tcW w:w="1231" w:type="pct"/>
            <w:tcBorders>
              <w:tl2br w:val="nil"/>
              <w:tr2bl w:val="nil"/>
            </w:tcBorders>
            <w:vAlign w:val="center"/>
          </w:tcPr>
          <w:p>
            <w:pPr>
              <w:widowControl/>
              <w:jc w:val="left"/>
              <w:textAlignment w:val="center"/>
              <w:rPr>
                <w:rFonts w:ascii="宋体" w:hAnsi="宋体" w:cs="宋体"/>
                <w:sz w:val="18"/>
                <w:szCs w:val="18"/>
              </w:rPr>
            </w:pPr>
          </w:p>
        </w:tc>
        <w:tc>
          <w:tcPr>
            <w:tcW w:w="335" w:type="pct"/>
            <w:tcBorders>
              <w:tl2br w:val="nil"/>
              <w:tr2bl w:val="nil"/>
            </w:tcBorders>
            <w:vAlign w:val="center"/>
          </w:tcPr>
          <w:p>
            <w:pPr>
              <w:widowControl/>
              <w:jc w:val="center"/>
              <w:textAlignment w:val="center"/>
              <w:rPr>
                <w:rFonts w:ascii="宋体" w:hAnsi="宋体" w:cs="宋体"/>
                <w:sz w:val="18"/>
                <w:szCs w:val="18"/>
              </w:rPr>
            </w:pP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19" w:type="pct"/>
            <w:tcBorders>
              <w:tl2br w:val="nil"/>
              <w:tr2bl w:val="nil"/>
            </w:tcBorders>
            <w:vAlign w:val="center"/>
          </w:tcPr>
          <w:p>
            <w:pPr>
              <w:widowControl/>
              <w:jc w:val="center"/>
              <w:textAlignment w:val="center"/>
              <w:rPr>
                <w:sz w:val="18"/>
                <w:szCs w:val="18"/>
              </w:rPr>
            </w:pPr>
            <w:r>
              <w:rPr>
                <w:sz w:val="18"/>
                <w:szCs w:val="18"/>
              </w:rPr>
              <w:t>19</w:t>
            </w:r>
          </w:p>
        </w:tc>
        <w:tc>
          <w:tcPr>
            <w:tcW w:w="392" w:type="pct"/>
            <w:tcBorders>
              <w:tl2br w:val="nil"/>
              <w:tr2bl w:val="nil"/>
            </w:tcBorders>
            <w:vAlign w:val="center"/>
          </w:tcPr>
          <w:p>
            <w:pPr>
              <w:widowControl/>
              <w:jc w:val="center"/>
              <w:textAlignment w:val="center"/>
              <w:rPr>
                <w:rFonts w:ascii="宋体" w:hAnsi="宋体" w:cs="宋体"/>
                <w:sz w:val="18"/>
                <w:szCs w:val="18"/>
              </w:rPr>
            </w:pPr>
            <w:r>
              <w:rPr>
                <w:sz w:val="18"/>
                <w:szCs w:val="18"/>
              </w:rPr>
              <w:t>02204</w:t>
            </w:r>
          </w:p>
        </w:tc>
        <w:tc>
          <w:tcPr>
            <w:tcW w:w="1257" w:type="pct"/>
            <w:tcBorders>
              <w:tl2br w:val="nil"/>
              <w:tr2bl w:val="nil"/>
            </w:tcBorders>
            <w:vAlign w:val="center"/>
          </w:tcPr>
          <w:p>
            <w:pPr>
              <w:widowControl/>
              <w:jc w:val="left"/>
              <w:textAlignment w:val="center"/>
              <w:rPr>
                <w:rFonts w:ascii="宋体" w:hAnsi="宋体" w:cs="宋体"/>
                <w:sz w:val="18"/>
                <w:szCs w:val="18"/>
              </w:rPr>
            </w:pPr>
            <w:r>
              <w:rPr>
                <w:rFonts w:hint="eastAsia" w:ascii="宋体" w:hAnsi="宋体" w:cs="宋体"/>
                <w:sz w:val="18"/>
                <w:szCs w:val="18"/>
              </w:rPr>
              <w:t>经济管理</w:t>
            </w:r>
          </w:p>
        </w:tc>
        <w:tc>
          <w:tcPr>
            <w:tcW w:w="336" w:type="pct"/>
            <w:tcBorders>
              <w:tl2br w:val="nil"/>
              <w:tr2bl w:val="nil"/>
            </w:tcBorders>
            <w:vAlign w:val="center"/>
          </w:tcPr>
          <w:p>
            <w:pPr>
              <w:widowControl/>
              <w:jc w:val="center"/>
              <w:textAlignment w:val="center"/>
              <w:rPr>
                <w:rFonts w:ascii="宋体" w:hAnsi="宋体" w:cs="宋体"/>
                <w:sz w:val="18"/>
                <w:szCs w:val="18"/>
              </w:rPr>
            </w:pPr>
            <w:r>
              <w:rPr>
                <w:sz w:val="18"/>
                <w:szCs w:val="18"/>
              </w:rPr>
              <w:t>5</w:t>
            </w:r>
          </w:p>
        </w:tc>
        <w:tc>
          <w:tcPr>
            <w:tcW w:w="350" w:type="pct"/>
            <w:tcBorders>
              <w:tl2br w:val="nil"/>
              <w:tr2bl w:val="nil"/>
            </w:tcBorders>
            <w:vAlign w:val="center"/>
          </w:tcPr>
          <w:p>
            <w:pPr>
              <w:widowControl/>
              <w:jc w:val="center"/>
              <w:textAlignment w:val="center"/>
              <w:rPr>
                <w:rFonts w:ascii="宋体" w:hAnsi="宋体" w:cs="宋体"/>
                <w:sz w:val="18"/>
                <w:szCs w:val="18"/>
              </w:rPr>
            </w:pPr>
          </w:p>
        </w:tc>
        <w:tc>
          <w:tcPr>
            <w:tcW w:w="417" w:type="pct"/>
            <w:tcBorders>
              <w:tl2br w:val="nil"/>
              <w:tr2bl w:val="nil"/>
            </w:tcBorders>
            <w:vAlign w:val="center"/>
          </w:tcPr>
          <w:p>
            <w:pPr>
              <w:widowControl/>
              <w:jc w:val="center"/>
              <w:textAlignment w:val="center"/>
              <w:rPr>
                <w:rFonts w:ascii="宋体" w:hAnsi="宋体" w:cs="宋体"/>
                <w:sz w:val="18"/>
                <w:szCs w:val="18"/>
              </w:rPr>
            </w:pPr>
          </w:p>
        </w:tc>
        <w:tc>
          <w:tcPr>
            <w:tcW w:w="1231" w:type="pct"/>
            <w:tcBorders>
              <w:tl2br w:val="nil"/>
              <w:tr2bl w:val="nil"/>
            </w:tcBorders>
            <w:vAlign w:val="center"/>
          </w:tcPr>
          <w:p>
            <w:pPr>
              <w:widowControl/>
              <w:jc w:val="left"/>
              <w:textAlignment w:val="center"/>
              <w:rPr>
                <w:rFonts w:ascii="宋体" w:hAnsi="宋体" w:cs="宋体"/>
                <w:sz w:val="18"/>
                <w:szCs w:val="18"/>
              </w:rPr>
            </w:pPr>
          </w:p>
        </w:tc>
        <w:tc>
          <w:tcPr>
            <w:tcW w:w="335" w:type="pct"/>
            <w:tcBorders>
              <w:tl2br w:val="nil"/>
              <w:tr2bl w:val="nil"/>
            </w:tcBorders>
            <w:vAlign w:val="center"/>
          </w:tcPr>
          <w:p>
            <w:pPr>
              <w:widowControl/>
              <w:jc w:val="center"/>
              <w:textAlignment w:val="center"/>
              <w:rPr>
                <w:rFonts w:ascii="宋体" w:hAnsi="宋体" w:cs="宋体"/>
                <w:sz w:val="18"/>
                <w:szCs w:val="18"/>
              </w:rPr>
            </w:pPr>
          </w:p>
        </w:tc>
        <w:tc>
          <w:tcPr>
            <w:tcW w:w="358" w:type="pct"/>
            <w:vMerge w:val="continue"/>
            <w:tcBorders>
              <w:tl2br w:val="nil"/>
              <w:tr2bl w:val="nil"/>
            </w:tcBorders>
            <w:vAlign w:val="center"/>
          </w:tcPr>
          <w:p>
            <w:pPr>
              <w:widowControl/>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00" w:type="pct"/>
            <w:gridSpan w:val="9"/>
            <w:tcBorders>
              <w:tl2br w:val="nil"/>
              <w:tr2bl w:val="nil"/>
            </w:tcBorders>
            <w:vAlign w:val="center"/>
          </w:tcPr>
          <w:p>
            <w:pPr>
              <w:widowControl/>
              <w:jc w:val="left"/>
              <w:textAlignment w:val="center"/>
              <w:rPr>
                <w:rFonts w:ascii="楷体_GB2312" w:hAnsi="楷体_GB2312" w:eastAsia="楷体_GB2312" w:cs="楷体_GB2312"/>
                <w:sz w:val="18"/>
                <w:szCs w:val="18"/>
              </w:rPr>
            </w:pPr>
            <w:r>
              <w:rPr>
                <w:rFonts w:hint="eastAsia" w:ascii="楷体_GB2312" w:hAnsi="楷体_GB2312" w:eastAsia="楷体_GB2312" w:cs="楷体_GB2312"/>
                <w:sz w:val="18"/>
                <w:szCs w:val="18"/>
              </w:rPr>
              <w:t>说明：</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1</w:t>
            </w:r>
            <w:r>
              <w:rPr>
                <w:rFonts w:hint="eastAsia" w:ascii="楷体_GB2312" w:hAnsi="楷体_GB2312" w:eastAsia="楷体_GB2312" w:cs="楷体_GB2312"/>
                <w:sz w:val="18"/>
                <w:szCs w:val="18"/>
              </w:rPr>
              <w:t>.只能用已取得合格成绩的旧计划课程顶替新计划课程，不能逆向顶替。</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2</w:t>
            </w:r>
            <w:r>
              <w:rPr>
                <w:rFonts w:hint="eastAsia" w:ascii="楷体_GB2312" w:hAnsi="楷体_GB2312" w:eastAsia="楷体_GB2312" w:cs="楷体_GB2312"/>
                <w:sz w:val="18"/>
                <w:szCs w:val="18"/>
              </w:rPr>
              <w:t>.</w:t>
            </w:r>
            <w:r>
              <w:rPr>
                <w:rFonts w:eastAsia="楷体_GB2312"/>
                <w:sz w:val="18"/>
                <w:szCs w:val="18"/>
              </w:rPr>
              <w:t>1</w:t>
            </w:r>
            <w:r>
              <w:rPr>
                <w:rFonts w:hint="eastAsia" w:ascii="楷体_GB2312" w:hAnsi="楷体_GB2312" w:eastAsia="楷体_GB2312" w:cs="楷体_GB2312"/>
                <w:sz w:val="18"/>
                <w:szCs w:val="18"/>
              </w:rPr>
              <w:t>个序号为</w:t>
            </w:r>
            <w:r>
              <w:rPr>
                <w:rFonts w:eastAsia="楷体_GB2312"/>
                <w:sz w:val="18"/>
                <w:szCs w:val="18"/>
              </w:rPr>
              <w:t>1</w:t>
            </w:r>
            <w:r>
              <w:rPr>
                <w:rFonts w:hint="eastAsia" w:ascii="楷体_GB2312" w:hAnsi="楷体_GB2312" w:eastAsia="楷体_GB2312" w:cs="楷体_GB2312"/>
                <w:sz w:val="18"/>
                <w:szCs w:val="18"/>
              </w:rPr>
              <w:t>门完整课程，</w:t>
            </w:r>
            <w:r>
              <w:rPr>
                <w:rFonts w:eastAsia="楷体_GB2312"/>
                <w:sz w:val="18"/>
                <w:szCs w:val="18"/>
              </w:rPr>
              <w:t>1</w:t>
            </w:r>
            <w:r>
              <w:rPr>
                <w:rFonts w:hint="eastAsia" w:ascii="楷体_GB2312" w:hAnsi="楷体_GB2312" w:eastAsia="楷体_GB2312" w:cs="楷体_GB2312"/>
                <w:sz w:val="18"/>
                <w:szCs w:val="18"/>
              </w:rPr>
              <w:t>门课程只能选择一种顶替办法，不能重复使用。</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3</w:t>
            </w:r>
            <w:r>
              <w:rPr>
                <w:rFonts w:hint="eastAsia" w:ascii="楷体_GB2312" w:hAnsi="楷体_GB2312" w:eastAsia="楷体_GB2312" w:cs="楷体_GB2312"/>
                <w:sz w:val="18"/>
                <w:szCs w:val="18"/>
              </w:rPr>
              <w:t>.对应顶替区课程，同一行</w:t>
            </w:r>
            <w:r>
              <w:rPr>
                <w:rFonts w:eastAsia="楷体_GB2312"/>
                <w:sz w:val="18"/>
                <w:szCs w:val="18"/>
              </w:rPr>
              <w:t>1</w:t>
            </w:r>
            <w:r>
              <w:rPr>
                <w:rFonts w:hint="eastAsia" w:ascii="楷体_GB2312" w:hAnsi="楷体_GB2312" w:eastAsia="楷体_GB2312" w:cs="楷体_GB2312"/>
                <w:sz w:val="18"/>
                <w:szCs w:val="18"/>
              </w:rPr>
              <w:t>门课程顶替</w:t>
            </w:r>
            <w:r>
              <w:rPr>
                <w:rFonts w:eastAsia="楷体_GB2312"/>
                <w:sz w:val="18"/>
                <w:szCs w:val="18"/>
              </w:rPr>
              <w:t>1</w:t>
            </w:r>
            <w:r>
              <w:rPr>
                <w:rFonts w:hint="eastAsia" w:ascii="楷体_GB2312" w:hAnsi="楷体_GB2312" w:eastAsia="楷体_GB2312" w:cs="楷体_GB2312"/>
                <w:sz w:val="18"/>
                <w:szCs w:val="18"/>
              </w:rPr>
              <w:t>门课程，不能顶替其他课程。</w:t>
            </w:r>
          </w:p>
          <w:p>
            <w:pPr>
              <w:widowControl/>
              <w:ind w:firstLine="360" w:firstLineChars="200"/>
              <w:jc w:val="left"/>
              <w:textAlignment w:val="center"/>
              <w:rPr>
                <w:rFonts w:ascii="楷体_GB2312" w:hAnsi="楷体_GB2312" w:eastAsia="楷体_GB2312" w:cs="楷体_GB2312"/>
                <w:sz w:val="18"/>
                <w:szCs w:val="18"/>
              </w:rPr>
            </w:pPr>
            <w:r>
              <w:rPr>
                <w:rFonts w:eastAsia="楷体_GB2312"/>
                <w:sz w:val="18"/>
                <w:szCs w:val="18"/>
              </w:rPr>
              <w:t>4</w:t>
            </w:r>
            <w:r>
              <w:rPr>
                <w:rFonts w:hint="eastAsia" w:ascii="楷体_GB2312" w:hAnsi="楷体_GB2312" w:eastAsia="楷体_GB2312" w:cs="楷体_GB2312"/>
                <w:sz w:val="18"/>
                <w:szCs w:val="18"/>
              </w:rPr>
              <w:t>.选择顶替区课程，旧计划任选</w:t>
            </w:r>
            <w:r>
              <w:rPr>
                <w:rFonts w:eastAsia="楷体_GB2312"/>
                <w:sz w:val="18"/>
                <w:szCs w:val="18"/>
              </w:rPr>
              <w:t>1</w:t>
            </w:r>
            <w:r>
              <w:rPr>
                <w:rFonts w:hint="eastAsia" w:ascii="楷体_GB2312" w:hAnsi="楷体_GB2312" w:eastAsia="楷体_GB2312" w:cs="楷体_GB2312"/>
                <w:sz w:val="18"/>
                <w:szCs w:val="18"/>
              </w:rPr>
              <w:t>门课程顶替新计划任意</w:t>
            </w:r>
            <w:r>
              <w:rPr>
                <w:rFonts w:eastAsia="楷体_GB2312"/>
                <w:sz w:val="18"/>
                <w:szCs w:val="18"/>
              </w:rPr>
              <w:t>1</w:t>
            </w:r>
            <w:r>
              <w:rPr>
                <w:rFonts w:hint="eastAsia" w:ascii="楷体_GB2312" w:hAnsi="楷体_GB2312" w:eastAsia="楷体_GB2312" w:cs="楷体_GB2312"/>
                <w:sz w:val="18"/>
                <w:szCs w:val="18"/>
              </w:rPr>
              <w:t>门课程。</w:t>
            </w:r>
          </w:p>
        </w:tc>
      </w:tr>
    </w:tbl>
    <w:p>
      <w:pPr>
        <w:sectPr>
          <w:pgSz w:w="11906" w:h="16838"/>
          <w:pgMar w:top="1440" w:right="1236" w:bottom="1440" w:left="1236" w:header="851" w:footer="992" w:gutter="0"/>
          <w:cols w:space="425" w:num="1"/>
          <w:docGrid w:type="lines" w:linePitch="312" w:charSpace="0"/>
        </w:sectPr>
      </w:pP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工程管理（专升本）专业教材明细表</w:t>
      </w:r>
    </w:p>
    <w:tbl>
      <w:tblPr>
        <w:tblStyle w:val="7"/>
        <w:tblW w:w="5000" w:type="pct"/>
        <w:tblInd w:w="0" w:type="dxa"/>
        <w:tblLayout w:type="fixed"/>
        <w:tblCellMar>
          <w:top w:w="0" w:type="dxa"/>
          <w:left w:w="108" w:type="dxa"/>
          <w:bottom w:w="0" w:type="dxa"/>
          <w:right w:w="108" w:type="dxa"/>
        </w:tblCellMar>
      </w:tblPr>
      <w:tblGrid>
        <w:gridCol w:w="945"/>
        <w:gridCol w:w="1155"/>
        <w:gridCol w:w="900"/>
        <w:gridCol w:w="867"/>
        <w:gridCol w:w="3121"/>
        <w:gridCol w:w="2537"/>
        <w:gridCol w:w="1199"/>
        <w:gridCol w:w="1928"/>
        <w:gridCol w:w="1522"/>
      </w:tblGrid>
      <w:tr>
        <w:tblPrEx>
          <w:tblCellMar>
            <w:top w:w="0" w:type="dxa"/>
            <w:left w:w="108" w:type="dxa"/>
            <w:bottom w:w="0" w:type="dxa"/>
            <w:right w:w="108" w:type="dxa"/>
          </w:tblCellMar>
        </w:tblPrEx>
        <w:trPr>
          <w:trHeight w:val="4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专业代码</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课程代码</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课程名称</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教材名称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教材主编</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版次</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02382</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管理信息系统</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管理信息系统</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杨一平、卢山</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机械工业出版社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2017年版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02383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管理信息系统（实践）</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06393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土木工程概论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土木工程概论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叶志明</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高等教育出版社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2009年版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06939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建筑法规</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建设法规</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孙剑</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中国建筑工业出版社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2023年1月第1版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10993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工程数学（线性代数、概率论与数理统计）</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线性代数（工）</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申亚男</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北京大学出版社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13648</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工程项目管理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工程项目管理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严薇、华建民</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北京大学出版社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13649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工程项目管理（实践）</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13683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管理学原理（中级）</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管理学原理（中级）</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白瑷峥</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中国人民大学出版社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03708</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中国近现代史纲要</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中国近现代史纲要自学考试学习读本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李捷、王顺生</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高等教育出版社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2018年版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03709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马克思主义基本原理概论</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马克思主义基本原理概论自学考试学习读本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卫兴华、赵家祥</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北京大学出版社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2018年版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01854</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工程质量管理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工程项目质量管理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张涑贤 苏秦</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中国建筑工业出版社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2023年2月第1版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04156</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建筑工程经济</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工程经济学</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黄喜兵</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西南交通大学出版社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2022年版第2版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04618</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工程施工</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土木工程施工技术与组织</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华建民、姚刚</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重庆大学出版社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2023年1月第3版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06396</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国际工程承包与管理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国际工程承包管理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李惠强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复旦大学出版社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2023年4月第2版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10633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工程造价管理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建设工程造价管理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刘伊生</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中国建筑工业出版社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2020年9月第1版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13620</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工程安全管理与环境保护</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建筑施工安全与环境保护</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廖奇云、李兴苏</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中国建筑工业出版社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2022年1月第1版</w:t>
            </w:r>
          </w:p>
        </w:tc>
      </w:tr>
      <w:tr>
        <w:tblPrEx>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120103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13634</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工程合同管理</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工程招投标与合同管理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刘黎虹，伏玉</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机械工业出版社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2023年1月第4版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BF3D806-38B5-4143-AA3A-6BC1DBF3453C}"/>
  </w:font>
  <w:font w:name="黑体">
    <w:panose1 w:val="02010609060101010101"/>
    <w:charset w:val="86"/>
    <w:family w:val="auto"/>
    <w:pitch w:val="default"/>
    <w:sig w:usb0="800002BF" w:usb1="38CF7CFA" w:usb2="00000016" w:usb3="00000000" w:csb0="00040001" w:csb1="00000000"/>
    <w:embedRegular r:id="rId2" w:fontKey="{EA065FCE-C166-46A3-B810-43A5E24346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4EF5D23-61A1-40ED-8F94-48D7E383756A}"/>
  </w:font>
  <w:font w:name="方正小标宋_GBK">
    <w:panose1 w:val="02000000000000000000"/>
    <w:charset w:val="86"/>
    <w:family w:val="script"/>
    <w:pitch w:val="default"/>
    <w:sig w:usb0="A00002BF" w:usb1="38CF7CFA" w:usb2="00082016" w:usb3="00000000" w:csb0="00040001" w:csb1="00000000"/>
    <w:embedRegular r:id="rId4" w:fontKey="{F24C743D-DDE5-4023-87C6-68AB05E3313B}"/>
  </w:font>
  <w:font w:name="方正书宋简体">
    <w:altName w:val="宋体"/>
    <w:panose1 w:val="00000000000000000000"/>
    <w:charset w:val="86"/>
    <w:family w:val="auto"/>
    <w:pitch w:val="default"/>
    <w:sig w:usb0="00000000" w:usb1="00000000" w:usb2="00000000" w:usb3="00000000" w:csb0="00040000" w:csb1="00000000"/>
    <w:embedRegular r:id="rId5" w:fontKey="{E293D10F-B960-41C0-A3E6-F3C29A785CDA}"/>
  </w:font>
  <w:font w:name="方正黑体_GBK">
    <w:panose1 w:val="03000509000000000000"/>
    <w:charset w:val="86"/>
    <w:family w:val="script"/>
    <w:pitch w:val="default"/>
    <w:sig w:usb0="00000001" w:usb1="080E0000" w:usb2="00000000" w:usb3="00000000" w:csb0="00040000" w:csb1="00000000"/>
    <w:embedRegular r:id="rId6" w:fontKey="{491EAA4F-F622-4675-8005-21BDEEB00381}"/>
  </w:font>
  <w:font w:name="楷体_GB2312">
    <w:panose1 w:val="02010609030101010101"/>
    <w:charset w:val="86"/>
    <w:family w:val="modern"/>
    <w:pitch w:val="default"/>
    <w:sig w:usb0="00000001" w:usb1="080E0000" w:usb2="00000000" w:usb3="00000000" w:csb0="00040000" w:csb1="00000000"/>
    <w:embedRegular r:id="rId7" w:fontKey="{C7BE8172-1A96-490C-971F-F6522B434683}"/>
  </w:font>
  <w:font w:name="微软雅黑">
    <w:panose1 w:val="020B0503020204020204"/>
    <w:charset w:val="86"/>
    <w:family w:val="swiss"/>
    <w:pitch w:val="default"/>
    <w:sig w:usb0="80000287" w:usb1="2ACF3C50" w:usb2="00000016" w:usb3="00000000" w:csb0="0004001F" w:csb1="00000000"/>
    <w:embedRegular r:id="rId8" w:fontKey="{7F57F624-48C6-49BE-A30A-0B088B3B8B79}"/>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1" w:usb1="080E0000" w:usb2="00000010" w:usb3="00000000" w:csb0="00040000" w:csb1="00000000"/>
    <w:embedRegular r:id="rId9" w:fontKey="{07A75277-E452-4FFB-B159-49975E75B98F}"/>
  </w:font>
  <w:font w:name="@微软雅黑">
    <w:panose1 w:val="020B0503020204020204"/>
    <w:charset w:val="86"/>
    <w:family w:val="auto"/>
    <w:pitch w:val="variable"/>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方正仿宋_GBK">
    <w:panose1 w:val="02000000000000000000"/>
    <w:charset w:val="86"/>
    <w:family w:val="auto"/>
    <w:pitch w:val="default"/>
    <w:sig w:usb0="A00002BF" w:usb1="38CF7CFA" w:usb2="00082016" w:usb3="00000000" w:csb0="00040001" w:csb1="00000000"/>
    <w:embedRegular r:id="rId10" w:fontKey="{7D2C0D4E-2776-4E9D-ACA1-4CF2A657EC06}"/>
  </w:font>
  <w:font w:name="@宋体">
    <w:panose1 w:val="02010600030101010101"/>
    <w:charset w:val="86"/>
    <w:family w:val="auto"/>
    <w:pitch w:val="variable"/>
    <w:sig w:usb0="00000003" w:usb1="288F00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4257C0"/>
    <w:rsid w:val="00211044"/>
    <w:rsid w:val="004257C0"/>
    <w:rsid w:val="00484B6A"/>
    <w:rsid w:val="11181B93"/>
    <w:rsid w:val="1CDB5998"/>
    <w:rsid w:val="3A495301"/>
    <w:rsid w:val="75D3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autoSpaceDE w:val="0"/>
      <w:autoSpaceDN w:val="0"/>
      <w:spacing w:line="500" w:lineRule="exact"/>
      <w:jc w:val="center"/>
      <w:outlineLvl w:val="0"/>
    </w:pPr>
    <w:rPr>
      <w:rFonts w:eastAsia="方正小标宋_GBK"/>
      <w:kern w:val="44"/>
      <w:sz w:val="36"/>
    </w:rPr>
  </w:style>
  <w:style w:type="paragraph" w:styleId="3">
    <w:name w:val="heading 2"/>
    <w:basedOn w:val="1"/>
    <w:next w:val="1"/>
    <w:link w:val="12"/>
    <w:semiHidden/>
    <w:unhideWhenUsed/>
    <w:qFormat/>
    <w:uiPriority w:val="0"/>
    <w:pPr>
      <w:keepNext/>
      <w:keepLines/>
      <w:widowControl w:val="0"/>
      <w:suppressLineNumbers w:val="0"/>
      <w:autoSpaceDE w:val="0"/>
      <w:autoSpaceDN w:val="0"/>
      <w:spacing w:before="260" w:beforeAutospacing="0" w:after="260" w:afterAutospacing="0" w:line="360" w:lineRule="auto"/>
      <w:ind w:left="0" w:right="0"/>
      <w:jc w:val="center"/>
      <w:outlineLvl w:val="1"/>
    </w:pPr>
    <w:rPr>
      <w:rFonts w:hint="default" w:ascii="Arial" w:hAnsi="Arial" w:eastAsia="黑体" w:cs="方正仿宋_GBK"/>
      <w:b/>
      <w:kern w:val="0"/>
      <w:sz w:val="32"/>
      <w:szCs w:val="22"/>
      <w:lang w:val="en-US" w:eastAsia="zh-CN" w:bidi="ar"/>
    </w:rPr>
  </w:style>
  <w:style w:type="character" w:default="1" w:styleId="8">
    <w:name w:val="Default Paragraph Font"/>
    <w:semiHidden/>
    <w:unhideWhenUsed/>
    <w:qFormat/>
    <w:uiPriority w:val="1"/>
  </w:style>
  <w:style w:type="table" w:default="1" w:styleId="7">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Normal Indent"/>
    <w:basedOn w:val="1"/>
    <w:uiPriority w:val="0"/>
    <w:pPr>
      <w:keepNext w:val="0"/>
      <w:keepLines w:val="0"/>
      <w:widowControl w:val="0"/>
      <w:suppressLineNumbers w:val="0"/>
      <w:autoSpaceDE w:val="0"/>
      <w:autoSpaceDN w:val="0"/>
      <w:spacing w:before="0" w:beforeAutospacing="0" w:after="0" w:afterAutospacing="0"/>
      <w:ind w:left="0" w:right="0" w:firstLine="680"/>
      <w:jc w:val="center"/>
    </w:pPr>
    <w:rPr>
      <w:rFonts w:hint="default" w:ascii="Calibri" w:hAnsi="Calibri" w:eastAsia="宋体" w:cs="方正仿宋_GBK"/>
      <w:kern w:val="0"/>
      <w:sz w:val="36"/>
      <w:szCs w:val="22"/>
      <w:lang w:val="en-US" w:eastAsia="zh-CN" w:bidi="ar"/>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uiPriority w:val="0"/>
    <w:pPr>
      <w:tabs>
        <w:tab w:val="center" w:pos="4153"/>
        <w:tab w:val="right" w:pos="8306"/>
      </w:tabs>
      <w:snapToGrid w:val="0"/>
      <w:jc w:val="center"/>
    </w:pPr>
    <w:rPr>
      <w:sz w:val="18"/>
      <w:szCs w:val="18"/>
    </w:rPr>
  </w:style>
  <w:style w:type="character" w:customStyle="1" w:styleId="9">
    <w:name w:val="页眉 字符"/>
    <w:basedOn w:val="8"/>
    <w:link w:val="6"/>
    <w:uiPriority w:val="0"/>
    <w:rPr>
      <w:rFonts w:ascii="Times New Roman" w:hAnsi="Times New Roman" w:eastAsia="宋体" w:cs="Times New Roman"/>
      <w:kern w:val="2"/>
      <w:sz w:val="18"/>
      <w:szCs w:val="18"/>
    </w:rPr>
  </w:style>
  <w:style w:type="character" w:customStyle="1" w:styleId="10">
    <w:name w:val="页脚 字符"/>
    <w:basedOn w:val="8"/>
    <w:link w:val="5"/>
    <w:qFormat/>
    <w:uiPriority w:val="0"/>
    <w:rPr>
      <w:rFonts w:ascii="Times New Roman" w:hAnsi="Times New Roman" w:eastAsia="宋体" w:cs="Times New Roman"/>
      <w:kern w:val="2"/>
      <w:sz w:val="18"/>
      <w:szCs w:val="18"/>
    </w:rPr>
  </w:style>
  <w:style w:type="character" w:customStyle="1" w:styleId="11">
    <w:name w:val="标题 1 字符"/>
    <w:basedOn w:val="8"/>
    <w:link w:val="2"/>
    <w:uiPriority w:val="0"/>
    <w:rPr>
      <w:rFonts w:hint="eastAsia" w:ascii="宋体" w:hAnsi="宋体" w:eastAsia="黑体" w:cs="宋体"/>
      <w:b/>
      <w:bCs/>
      <w:kern w:val="44"/>
      <w:sz w:val="44"/>
      <w:szCs w:val="48"/>
    </w:rPr>
  </w:style>
  <w:style w:type="character" w:customStyle="1" w:styleId="12">
    <w:name w:val="标题 2 字符"/>
    <w:basedOn w:val="8"/>
    <w:link w:val="3"/>
    <w:uiPriority w:val="0"/>
    <w:rPr>
      <w:rFonts w:hint="default" w:ascii="Arial" w:hAnsi="Arial" w:eastAsia="黑体" w:cs="方正仿宋_GBK"/>
      <w:b/>
      <w:sz w:val="32"/>
      <w:szCs w:val="22"/>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940</Words>
  <Characters>5358</Characters>
  <Lines>44</Lines>
  <Paragraphs>12</Paragraphs>
  <TotalTime>1</TotalTime>
  <ScaleCrop>false</ScaleCrop>
  <LinksUpToDate>false</LinksUpToDate>
  <CharactersWithSpaces>6286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2023-10-29T05:40:00Z</dcterms:created>
  <dc:creator>Administrator</dc:creator>
  <cp:lastModifiedBy>淡定</cp:lastModifiedBy>
  <dcterms:modified xsi:type="dcterms:W3CDTF">2023-10-29T07:04:25Z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5DDAE71C323E4883BEE65C0E24205622_12</vt:lpwstr>
  </property>
</Properties>
</file>